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F31A21" w:rsidP="00F31A2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Ruský jazyk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5B61A8" w:rsidP="00981A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</w:t>
            </w:r>
            <w:r w:rsidR="00981A01">
              <w:rPr>
                <w:rFonts w:ascii="Arial" w:hAnsi="Arial" w:cs="Arial"/>
                <w:sz w:val="18"/>
                <w:szCs w:val="18"/>
              </w:rPr>
              <w:t>3</w:t>
            </w:r>
            <w:r w:rsidR="00F31A21">
              <w:rPr>
                <w:rFonts w:ascii="Arial" w:hAnsi="Arial" w:cs="Arial"/>
                <w:sz w:val="18"/>
                <w:szCs w:val="18"/>
              </w:rPr>
              <w:t>_RJ</w:t>
            </w:r>
            <w:r w:rsidR="00981A01">
              <w:rPr>
                <w:rFonts w:ascii="Arial" w:hAnsi="Arial" w:cs="Arial"/>
                <w:sz w:val="18"/>
                <w:szCs w:val="18"/>
              </w:rPr>
              <w:t>1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981A01">
              <w:rPr>
                <w:rFonts w:ascii="Arial" w:hAnsi="Arial" w:cs="Arial"/>
                <w:sz w:val="18"/>
                <w:szCs w:val="18"/>
              </w:rPr>
              <w:t>OAP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 w:rsidR="00981A01">
              <w:rPr>
                <w:rFonts w:ascii="Arial" w:hAnsi="Arial" w:cs="Arial"/>
                <w:sz w:val="18"/>
                <w:szCs w:val="18"/>
              </w:rPr>
              <w:t>VIZ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AB30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3/3/3</w:t>
            </w:r>
            <w:r w:rsidR="00F31A2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981A01" w:rsidP="00981A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6352 M obchod a podnikanie</w:t>
            </w:r>
            <w:r w:rsidR="00F31A21">
              <w:rPr>
                <w:rFonts w:ascii="Arial" w:hAnsi="Arial" w:cs="Arial"/>
                <w:sz w:val="18"/>
                <w:szCs w:val="18"/>
              </w:rPr>
              <w:t>, 6362 M kozmetička a vizážistka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štyroch ročníkov. </w:t>
      </w:r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895437" w:rsidRPr="003C3741">
        <w:rPr>
          <w:b/>
        </w:rPr>
        <w:t>ruský jazyk</w:t>
      </w:r>
      <w:r w:rsidR="00197177">
        <w:t xml:space="preserve"> </w:t>
      </w:r>
      <w:r w:rsidR="00E45DBC">
        <w:t xml:space="preserve">v </w:t>
      </w:r>
      <w:proofErr w:type="spellStart"/>
      <w:r w:rsidR="00197177">
        <w:t>študíjnych</w:t>
      </w:r>
      <w:proofErr w:type="spellEnd"/>
      <w:r w:rsidR="00895437">
        <w:t xml:space="preserve"> odboroch</w:t>
      </w:r>
      <w:r w:rsidR="00197177">
        <w:t xml:space="preserve"> </w:t>
      </w:r>
      <w:r w:rsidR="00A357FB">
        <w:t>obchod a podnikanie</w:t>
      </w:r>
      <w:r w:rsidR="00197177">
        <w:t xml:space="preserve"> a kozmetička a vizážistka</w:t>
      </w:r>
      <w:r w:rsidR="00895437">
        <w:t xml:space="preserve"> svojím obsahom  vo všeobecnosti je </w:t>
      </w:r>
      <w:proofErr w:type="spellStart"/>
      <w:r w:rsidR="00E45DBC">
        <w:t>rozvijajúcim</w:t>
      </w:r>
      <w:proofErr w:type="spellEnd"/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ruský jazyk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895437" w:rsidRDefault="007B6526" w:rsidP="00895437">
      <w:pPr>
        <w:jc w:val="both"/>
      </w:pPr>
      <w:r>
        <w:t xml:space="preserve">   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B555C8">
        <w:t> Opakovania ZŠ, Dom, moja izba, Moskva, V obchode, V škole, Režim dňa</w:t>
      </w:r>
      <w:r w:rsidR="00DC1880">
        <w:t>, Hovoríte po rusky, U </w:t>
      </w:r>
      <w:proofErr w:type="spellStart"/>
      <w:r w:rsidR="00DC1880">
        <w:t>Dimu</w:t>
      </w:r>
      <w:proofErr w:type="spellEnd"/>
      <w:r w:rsidR="00B555C8">
        <w:t xml:space="preserve"> na návšteve, Moja rodina, profesia, Voľný čas, Z</w:t>
      </w:r>
      <w:r w:rsidR="00DC1880">
        <w:t>o</w:t>
      </w:r>
      <w:r w:rsidR="00B555C8">
        <w:t xml:space="preserve">známte sa s... </w:t>
      </w:r>
      <w:r w:rsidR="00895437">
        <w:t>V </w:t>
      </w:r>
      <w:r w:rsidR="00895437" w:rsidRPr="00FE4C33">
        <w:rPr>
          <w:u w:val="single"/>
        </w:rPr>
        <w:t>druhom ročníku</w:t>
      </w:r>
      <w:r w:rsidR="00895437">
        <w:t xml:space="preserve"> je zamerané na témy z učebnice </w:t>
      </w:r>
      <w:r w:rsidR="00B555C8">
        <w:t>V škole, Vzdelávanie, Orientácia v meste, Nákupné centrum, Dve hlavné mestá v Rusku, Bratislava, U lekára, choroby, Dobrú</w:t>
      </w:r>
      <w:r w:rsidR="00DC1880">
        <w:t xml:space="preserve"> </w:t>
      </w:r>
      <w:r w:rsidR="00B555C8">
        <w:t>chuť, Šport,</w:t>
      </w:r>
      <w:r w:rsidR="00895437">
        <w:t xml:space="preserve"> V </w:t>
      </w:r>
      <w:r w:rsidR="00895437" w:rsidRPr="00FE4C33">
        <w:rPr>
          <w:u w:val="single"/>
        </w:rPr>
        <w:t>treťom ročníku</w:t>
      </w:r>
      <w:r w:rsidR="00895437">
        <w:t xml:space="preserve"> sú to témy</w:t>
      </w:r>
      <w:r w:rsidR="00DC1880">
        <w:t>:</w:t>
      </w:r>
      <w:r w:rsidR="00B555C8">
        <w:t xml:space="preserve"> Rodina a príbuzní, Bývanie, dom, byt, Záľuby a voľný čas, Šport a hry, Cestovanie, Profesie, zamestnanie, Vzdelávanie, Slovensko, Odev a móda, Stravovanie, Rusko, Obchody a služby, Krajiny, mestá a miesta, Masmédia, Človek a príroda, Kniha – priateľ človeka, Vzory a ideály, Veda a technika, Mládež a jej svet, Komunikácia a jej formy a v štvrtom ročníku sú to témy: Človek a spoločnosť, Starostlivosť o zdravie, Kultúra a umenie, Ruské suveníry, Medziľudské vzťahy,</w:t>
      </w:r>
      <w:r w:rsidR="0066341A">
        <w:t xml:space="preserve"> </w:t>
      </w:r>
      <w:proofErr w:type="spellStart"/>
      <w:r w:rsidR="0066341A">
        <w:t>Multikultúrna</w:t>
      </w:r>
      <w:proofErr w:type="spellEnd"/>
      <w:r w:rsidR="0066341A">
        <w:t xml:space="preserve"> spoločnosť.</w:t>
      </w:r>
      <w:r w:rsidR="00FE4C33">
        <w:t xml:space="preserve"> </w:t>
      </w:r>
      <w:r w:rsidR="00895437">
        <w:t xml:space="preserve">Žiaci si musia uvedomiť, že </w:t>
      </w:r>
      <w:r w:rsidR="0066341A">
        <w:t>vyučovanie 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>Predmet ruský jazyk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16B9A" w:rsidRDefault="00A355E7" w:rsidP="00302C9F">
      <w:pPr>
        <w:numPr>
          <w:ilvl w:val="0"/>
          <w:numId w:val="14"/>
        </w:numPr>
        <w:jc w:val="center"/>
      </w:pPr>
      <w:r w:rsidRPr="00302C9F">
        <w:rPr>
          <w:b/>
          <w:sz w:val="28"/>
          <w:szCs w:val="28"/>
        </w:rPr>
        <w:t>5 -</w:t>
      </w:r>
    </w:p>
    <w:p w:rsidR="00916B9A" w:rsidRDefault="00916B9A">
      <w:pPr>
        <w:rPr>
          <w:b/>
          <w:sz w:val="28"/>
          <w:szCs w:val="28"/>
        </w:rPr>
      </w:pP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8B0FC6">
        <w:trPr>
          <w:trHeight w:val="34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6290F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6290F" w:rsidRDefault="008D1DEF" w:rsidP="008D1DEF">
            <w:r>
              <w:t>1.</w:t>
            </w:r>
            <w:r w:rsidR="001A2C1D">
              <w:t>Opakovanie zo ZŠ</w:t>
            </w:r>
          </w:p>
          <w:p w:rsidR="001A2C1D" w:rsidRDefault="001A2C1D" w:rsidP="001A2C1D">
            <w:pPr>
              <w:ind w:left="720"/>
            </w:pP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Frontálna a 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1A2C1D">
            <w:r>
              <w:t>2. Dom , moja izba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 a pozorovanie</w:t>
            </w:r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Precvičovanie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1A2C1D">
            <w:r>
              <w:t>3. Moskva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Výklad</w:t>
            </w:r>
            <w:r w:rsidR="00F14AE0">
              <w:t>, komunikačná.</w:t>
            </w:r>
          </w:p>
          <w:p w:rsidR="00B6290F" w:rsidRDefault="00B6290F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9959D0">
            <w:r>
              <w:t>4.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9959D0">
            <w:r>
              <w:t>5. V škole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Práca s textom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6. Režim dňa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 xml:space="preserve">Práca s knihou </w:t>
            </w:r>
          </w:p>
          <w:p w:rsidR="00B6290F" w:rsidRDefault="00B6290F" w:rsidP="003357C3">
            <w:r>
              <w:t>Skupinová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7. Hovoríte po rusky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Individuálna práca na PC</w:t>
            </w:r>
          </w:p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Terminovaná domáca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1A2C1D" w:rsidP="003357C3">
            <w:r>
              <w:t>8. U </w:t>
            </w:r>
            <w:proofErr w:type="spellStart"/>
            <w:r>
              <w:t>Dimu</w:t>
            </w:r>
            <w:proofErr w:type="spellEnd"/>
            <w:r>
              <w:t xml:space="preserve"> na návšteve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učebnicou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9. Moja rodina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Skupinová práca žiakov</w:t>
            </w:r>
          </w:p>
          <w:p w:rsidR="00B6290F" w:rsidRDefault="00B6290F" w:rsidP="003357C3">
            <w:r>
              <w:t>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 xml:space="preserve">10. </w:t>
            </w:r>
            <w:proofErr w:type="spellStart"/>
            <w:r>
              <w:t>Profésia</w:t>
            </w:r>
            <w:proofErr w:type="spellEnd"/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a individuálna práca žiakov</w:t>
            </w:r>
          </w:p>
          <w:p w:rsidR="00B6290F" w:rsidRDefault="00B6290F" w:rsidP="003357C3">
            <w:r>
              <w:t>Práca s textom na internete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11. 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Samostatné štúdium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12. Zoznámte sa s...</w:t>
            </w:r>
          </w:p>
          <w:p w:rsidR="001A2C1D" w:rsidRDefault="001A2C1D" w:rsidP="003357C3"/>
          <w:p w:rsidR="001A2C1D" w:rsidRDefault="001A2C1D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Čítanie s porozumením</w:t>
            </w:r>
          </w:p>
          <w:p w:rsidR="00B6290F" w:rsidRDefault="00B6290F" w:rsidP="003357C3">
            <w:r>
              <w:t>Skupinová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13.</w:t>
            </w:r>
            <w:r w:rsidR="00AF620C">
              <w:t>V škole           2. 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žiakov</w:t>
            </w:r>
          </w:p>
          <w:p w:rsidR="00B6290F" w:rsidRDefault="00B6290F" w:rsidP="003357C3">
            <w:r>
              <w:t>Písomná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14. Vzdelávanie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 xml:space="preserve">Výkladovo </w:t>
            </w:r>
            <w:r w:rsidR="00F14AE0">
              <w:t>–</w:t>
            </w:r>
            <w:r>
              <w:t xml:space="preserve"> ilustratívna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  <w:p w:rsidR="00660316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15. orientácia v meste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16. Nákupné centrum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  <w:r w:rsidR="002E0B3B">
              <w:t>ová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70110A">
            <w:r>
              <w:t>17. Dve hlavné mestá Rusk</w:t>
            </w:r>
            <w:r w:rsidR="0070110A">
              <w:t>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8D2257" w:rsidRDefault="008D2257" w:rsidP="003357C3">
            <w:r>
              <w:t>Dialógy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18. Bratislava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19. U </w:t>
            </w:r>
            <w:proofErr w:type="spellStart"/>
            <w:r>
              <w:t>lekáre</w:t>
            </w:r>
            <w:proofErr w:type="spellEnd"/>
            <w:r>
              <w:t>, choroby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20. Dobrú chuť</w:t>
            </w:r>
          </w:p>
          <w:p w:rsidR="00AF620C" w:rsidRDefault="00AF620C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A24AA" w:rsidRDefault="007A24AA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AF620C" w:rsidP="00542F0D">
            <w:r>
              <w:t>21. Šport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Referát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542F0D">
            <w:r>
              <w:t>22.</w:t>
            </w:r>
            <w:r w:rsidR="0070110A">
              <w:t xml:space="preserve"> </w:t>
            </w:r>
            <w:r>
              <w:t>Rodina a</w:t>
            </w:r>
            <w:r w:rsidR="00591E89">
              <w:t> </w:t>
            </w:r>
            <w:r>
              <w:t>príbuzní</w:t>
            </w:r>
            <w:r w:rsidR="00591E89">
              <w:t xml:space="preserve">   3.roč.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750A56">
              <w:t>–</w:t>
            </w:r>
            <w:r>
              <w:t xml:space="preserve">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r>
              <w:t>Práca - 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23. Bývanie, dom, byt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8D2257">
              <w:t> </w:t>
            </w:r>
            <w:r>
              <w:t>knihou</w:t>
            </w:r>
          </w:p>
          <w:p w:rsidR="008D2257" w:rsidRDefault="008D2257" w:rsidP="003357C3">
            <w:r>
              <w:t>Precvičovanie úloh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24. Záľuby a 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25. Športy a hry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metóda.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na PC</w:t>
            </w:r>
          </w:p>
          <w:p w:rsidR="007A24AA" w:rsidRDefault="007A24AA" w:rsidP="003357C3">
            <w:r>
              <w:t>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26. Cestovanie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110A" w:rsidP="003357C3">
            <w:r>
              <w:t>27. P</w:t>
            </w:r>
            <w:r w:rsidR="00AF620C">
              <w:t>rofesie, zamestnanie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84CE7" w:rsidRDefault="00784CE7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28. Vzdelávanie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29. Slovensko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</w:p>
          <w:p w:rsidR="00B44524" w:rsidRDefault="00B44524" w:rsidP="003357C3">
            <w:r>
              <w:t xml:space="preserve">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30. O</w:t>
            </w:r>
            <w:r w:rsidR="00AF620C">
              <w:t>dev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31. S</w:t>
            </w:r>
            <w:r w:rsidR="00AF620C">
              <w:t>travovanie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32. R</w:t>
            </w:r>
            <w:r w:rsidR="00AF620C">
              <w:t>usko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33. Obchody a služby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1E4C5E">
              <w:t>, expozičná</w:t>
            </w:r>
            <w:r>
              <w:t xml:space="preserve"> 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660316" w:rsidP="003357C3">
            <w:r>
              <w:t>Domáca úloha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34. Krajiny, mestá a miesta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35. Masmédia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467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36. Človek a príroda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37. K</w:t>
            </w:r>
            <w:r w:rsidR="00AF620C">
              <w:t>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7A24AA" w:rsidP="003357C3">
            <w:r>
              <w:t>Pracovný list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38. Vzory a ideály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14AE0">
              <w:t>–</w:t>
            </w:r>
            <w:r>
              <w:t xml:space="preserve"> receptívna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660316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39. Veda a technika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7A24AA" w:rsidRDefault="007A24AA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40. Mládež a jej svet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Domáca úloha</w:t>
            </w:r>
          </w:p>
          <w:p w:rsidR="00660316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41. Komunikácia a jej formy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Informačno</w:t>
            </w:r>
            <w:proofErr w:type="spellEnd"/>
            <w:r>
              <w:t>- receptívna</w:t>
            </w:r>
          </w:p>
          <w:p w:rsidR="00F14AE0" w:rsidRDefault="00F14AE0" w:rsidP="003357C3">
            <w:r>
              <w:t>Opakovacia.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Samostatné štúdium</w:t>
            </w:r>
          </w:p>
          <w:p w:rsidR="008D2257" w:rsidRDefault="008D2257" w:rsidP="003357C3">
            <w:r>
              <w:t>Precvičovanie úloh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 xml:space="preserve">42. Človek a spoločnosť   </w:t>
            </w:r>
            <w:r w:rsidR="00591E89">
              <w:t xml:space="preserve">        </w:t>
            </w:r>
            <w:r>
              <w:t xml:space="preserve">4. </w:t>
            </w:r>
            <w:proofErr w:type="spellStart"/>
            <w:r>
              <w:t>roč</w:t>
            </w:r>
            <w:proofErr w:type="spellEnd"/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CC15D0" w:rsidP="003357C3">
            <w:r>
              <w:t>Výkladová, expozičná</w:t>
            </w:r>
          </w:p>
          <w:p w:rsidR="00F96F05" w:rsidRDefault="00F96F0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784CE7" w:rsidP="003357C3">
            <w:r>
              <w:t>Práca  s PC</w:t>
            </w:r>
          </w:p>
          <w:p w:rsidR="00784CE7" w:rsidRDefault="00784CE7" w:rsidP="003357C3">
            <w:r>
              <w:t>Skupinová práca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43. Starostlivosť o 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Riadený rozhovor, 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Frontálna výučba</w:t>
            </w:r>
          </w:p>
          <w:p w:rsidR="00784CE7" w:rsidRDefault="00784CE7" w:rsidP="003357C3">
            <w:r>
              <w:t>Projekt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44.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proofErr w:type="spellStart"/>
            <w:r>
              <w:t>Heterodidaktická</w:t>
            </w:r>
            <w:proofErr w:type="spellEnd"/>
          </w:p>
          <w:p w:rsidR="00CC15D0" w:rsidRDefault="00CC15D0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proofErr w:type="spellStart"/>
            <w:r>
              <w:t>Páca</w:t>
            </w:r>
            <w:proofErr w:type="spellEnd"/>
            <w:r>
              <w:t xml:space="preserve"> s textom</w:t>
            </w:r>
          </w:p>
          <w:p w:rsidR="00784CE7" w:rsidRDefault="00784CE7" w:rsidP="003357C3">
            <w:r>
              <w:t>Individuálna práca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45. Ruské suveníry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Fixačná metóda</w:t>
            </w:r>
          </w:p>
          <w:p w:rsidR="00CC15D0" w:rsidRDefault="00CC15D0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Skupinová práca</w:t>
            </w:r>
          </w:p>
          <w:p w:rsidR="00784CE7" w:rsidRDefault="00784CE7" w:rsidP="003357C3">
            <w:r>
              <w:t>Referát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 xml:space="preserve">46. </w:t>
            </w:r>
            <w:r w:rsidR="00CC40D4">
              <w:t>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96F05">
              <w:t>–</w:t>
            </w:r>
            <w:r>
              <w:t xml:space="preserve"> receptívna</w:t>
            </w:r>
          </w:p>
          <w:p w:rsidR="00F96F05" w:rsidRDefault="00F96F0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Práca s PC</w:t>
            </w:r>
          </w:p>
          <w:p w:rsidR="00784CE7" w:rsidRDefault="00784CE7" w:rsidP="003357C3">
            <w:r>
              <w:t>projekt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CC40D4" w:rsidP="003357C3">
            <w:r>
              <w:t xml:space="preserve">47.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Expozičná, diagnostická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Práca s textom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363F2F" w:rsidP="003357C3"/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363F2F" w:rsidP="003357C3"/>
        </w:tc>
      </w:tr>
    </w:tbl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347D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1.Opakovanie zo ZŠ</w:t>
            </w:r>
          </w:p>
          <w:p w:rsidR="0007347D" w:rsidRDefault="0007347D" w:rsidP="00347D81">
            <w:pPr>
              <w:ind w:left="720"/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16790A">
            <w:proofErr w:type="spellStart"/>
            <w:r>
              <w:t>Kováčiková</w:t>
            </w:r>
            <w:proofErr w:type="spellEnd"/>
            <w:r>
              <w:t xml:space="preserve"> E., </w:t>
            </w:r>
            <w:proofErr w:type="spellStart"/>
            <w:r>
              <w:t>Gleichová</w:t>
            </w:r>
            <w:proofErr w:type="spellEnd"/>
            <w:r>
              <w:t xml:space="preserve"> J., Ruský jazyk pre 5. roč. ZŠ, SPN, Bratislava 1989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Azbuka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2. Dom , moja izba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FE27BE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3. Moskva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Pracovné zošity</w:t>
            </w:r>
          </w:p>
          <w:p w:rsidR="0007347D" w:rsidRDefault="0007347D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Kolektív autorov, Príručná gramatika RUJ pre SŠ, SPN, Bratislava 1975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5. V škole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Video</w:t>
            </w:r>
          </w:p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r>
              <w:t>Obrázkový materiál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6. Režim dňa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7. Hovoríte po rusky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Video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8. U </w:t>
            </w:r>
            <w:proofErr w:type="spellStart"/>
            <w:r>
              <w:t>Dimu</w:t>
            </w:r>
            <w:proofErr w:type="spellEnd"/>
            <w:r>
              <w:t xml:space="preserve"> na návšteve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Kolektív autorov, Ruská konverzácia pre SŠ, SPN, Bratislava 1978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9. Moja rodina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príručka, Moskva 1983</w:t>
            </w:r>
          </w:p>
          <w:p w:rsidR="0007347D" w:rsidRDefault="0007347D" w:rsidP="003357C3"/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 xml:space="preserve">10. </w:t>
            </w:r>
            <w:proofErr w:type="spellStart"/>
            <w:r>
              <w:t>Profésia</w:t>
            </w:r>
            <w:proofErr w:type="spellEnd"/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ruskodnes.ru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11. 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Obrázkový materiál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12. Zoznámte sa s...</w:t>
            </w:r>
          </w:p>
          <w:p w:rsidR="0007347D" w:rsidRDefault="0007347D" w:rsidP="00347D81"/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Pracovné zošity</w:t>
            </w:r>
          </w:p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 xml:space="preserve">, SPN, </w:t>
            </w:r>
            <w:proofErr w:type="spellStart"/>
            <w:r>
              <w:t>Bratislava-Moskva</w:t>
            </w:r>
            <w:proofErr w:type="spellEnd"/>
            <w:r>
              <w:t>, 1976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13.V škole           2. 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14. Vzdelávanie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15. orientácia v meste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 xml:space="preserve">Internet Prekladový rusko-slovenský a slovensko-ruský slovník </w:t>
            </w:r>
            <w:proofErr w:type="spellStart"/>
            <w:r>
              <w:t>net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16. Nákupné centrum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17. Dve hlavné mestá Ruska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18. Bratislava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19. U </w:t>
            </w:r>
            <w:proofErr w:type="spellStart"/>
            <w:r>
              <w:t>lekáre</w:t>
            </w:r>
            <w:proofErr w:type="spellEnd"/>
            <w:r>
              <w:t>, choroby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20. Dobrú chuť</w:t>
            </w:r>
          </w:p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21. Šport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22. Rodina a príbuzní   3.roč.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DD45CA" w:rsidP="003357C3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/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23. Bývanie, dom, byt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DE4DE1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24. Záľuby a 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25. Športy a hry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26. Cestovanie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27. Profesie, zamestnanie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28. Vzdelávanie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29. Slovensko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30. Odev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proofErr w:type="spellStart"/>
            <w:r>
              <w:t>Sliovník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31. Stravovanie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32. Rusko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/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33. Obchody a služby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34. Krajiny, mestá a miesta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35. Masmédia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36. Človek a príroda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37.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  <w:r>
              <w:br/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38. Vzory a ideály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Zošity</w:t>
            </w:r>
          </w:p>
          <w:p w:rsidR="0007347D" w:rsidRDefault="0007347D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39. Veda a technika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40. Mládež a jej svet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Zošity</w:t>
            </w:r>
          </w:p>
          <w:p w:rsidR="0007347D" w:rsidRDefault="0007347D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444094" w:rsidRDefault="00444094">
            <w:r>
              <w:t>Knižnica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41. Komunikácia a jej formy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  <w:r>
              <w:t xml:space="preserve"> Zošity</w:t>
            </w:r>
          </w:p>
          <w:p w:rsidR="0007347D" w:rsidRPr="00D61703" w:rsidRDefault="0007347D" w:rsidP="00B555C8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 xml:space="preserve">42. Človek a spoločnosť           4. </w:t>
            </w:r>
            <w:proofErr w:type="spellStart"/>
            <w:r>
              <w:t>roč</w:t>
            </w:r>
            <w:proofErr w:type="spellEnd"/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r>
              <w:t>Knižnica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43. Starostlivosť o 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44.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proofErr w:type="spellStart"/>
            <w:r>
              <w:t>PhanteRei</w:t>
            </w:r>
            <w:proofErr w:type="spellEnd"/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45. Ruské suveníry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proofErr w:type="spellStart"/>
            <w:r>
              <w:t>PhanteRei</w:t>
            </w:r>
            <w:proofErr w:type="spellEnd"/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46.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 xml:space="preserve">47.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r>
              <w:t>Knižnica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</w:tr>
    </w:tbl>
    <w:p w:rsidR="001556FE" w:rsidRDefault="001556FE" w:rsidP="004449BC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B9A"/>
    <w:rsid w:val="00026DD3"/>
    <w:rsid w:val="0004049E"/>
    <w:rsid w:val="00044179"/>
    <w:rsid w:val="00050493"/>
    <w:rsid w:val="0007347D"/>
    <w:rsid w:val="000B20F8"/>
    <w:rsid w:val="000B3DA3"/>
    <w:rsid w:val="000C4908"/>
    <w:rsid w:val="0013704A"/>
    <w:rsid w:val="00147639"/>
    <w:rsid w:val="001556FE"/>
    <w:rsid w:val="0016790A"/>
    <w:rsid w:val="00170D02"/>
    <w:rsid w:val="001960B3"/>
    <w:rsid w:val="00197177"/>
    <w:rsid w:val="001A2C1D"/>
    <w:rsid w:val="001C5C5F"/>
    <w:rsid w:val="001D4FD8"/>
    <w:rsid w:val="001D599B"/>
    <w:rsid w:val="001D6A3B"/>
    <w:rsid w:val="001E4891"/>
    <w:rsid w:val="001E4C5E"/>
    <w:rsid w:val="001F3C46"/>
    <w:rsid w:val="00222FEB"/>
    <w:rsid w:val="0025753F"/>
    <w:rsid w:val="00257BEE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56198"/>
    <w:rsid w:val="00363F2F"/>
    <w:rsid w:val="004217FA"/>
    <w:rsid w:val="00421DD5"/>
    <w:rsid w:val="00444094"/>
    <w:rsid w:val="004449BC"/>
    <w:rsid w:val="00476297"/>
    <w:rsid w:val="00483EBC"/>
    <w:rsid w:val="004E6E5B"/>
    <w:rsid w:val="004F43F6"/>
    <w:rsid w:val="005068CE"/>
    <w:rsid w:val="00542F0D"/>
    <w:rsid w:val="00551E12"/>
    <w:rsid w:val="00562CD8"/>
    <w:rsid w:val="00591E89"/>
    <w:rsid w:val="005A51CA"/>
    <w:rsid w:val="005B61A8"/>
    <w:rsid w:val="005C0BD5"/>
    <w:rsid w:val="005E2AF6"/>
    <w:rsid w:val="00602C8D"/>
    <w:rsid w:val="00621B2A"/>
    <w:rsid w:val="006264CA"/>
    <w:rsid w:val="00646790"/>
    <w:rsid w:val="00660316"/>
    <w:rsid w:val="0066341A"/>
    <w:rsid w:val="006725C2"/>
    <w:rsid w:val="00692D90"/>
    <w:rsid w:val="0070110A"/>
    <w:rsid w:val="00721872"/>
    <w:rsid w:val="00723812"/>
    <w:rsid w:val="0074483A"/>
    <w:rsid w:val="00750A56"/>
    <w:rsid w:val="00761483"/>
    <w:rsid w:val="00784CE7"/>
    <w:rsid w:val="00793FDA"/>
    <w:rsid w:val="007A24AA"/>
    <w:rsid w:val="007B6526"/>
    <w:rsid w:val="007E198E"/>
    <w:rsid w:val="00823E5A"/>
    <w:rsid w:val="00824808"/>
    <w:rsid w:val="00831471"/>
    <w:rsid w:val="00832F69"/>
    <w:rsid w:val="008510A5"/>
    <w:rsid w:val="00861330"/>
    <w:rsid w:val="00867482"/>
    <w:rsid w:val="00880EBB"/>
    <w:rsid w:val="0088467F"/>
    <w:rsid w:val="00895437"/>
    <w:rsid w:val="008B0FC6"/>
    <w:rsid w:val="008D0D5A"/>
    <w:rsid w:val="008D1DEF"/>
    <w:rsid w:val="008D2257"/>
    <w:rsid w:val="008D6EC9"/>
    <w:rsid w:val="00916B9A"/>
    <w:rsid w:val="0093478F"/>
    <w:rsid w:val="009734C5"/>
    <w:rsid w:val="009777ED"/>
    <w:rsid w:val="00977BB1"/>
    <w:rsid w:val="00981742"/>
    <w:rsid w:val="00981A01"/>
    <w:rsid w:val="009959D0"/>
    <w:rsid w:val="00996295"/>
    <w:rsid w:val="009F06CE"/>
    <w:rsid w:val="00A130CA"/>
    <w:rsid w:val="00A355E7"/>
    <w:rsid w:val="00A357FB"/>
    <w:rsid w:val="00A44B65"/>
    <w:rsid w:val="00A56CD9"/>
    <w:rsid w:val="00A71313"/>
    <w:rsid w:val="00A72F0B"/>
    <w:rsid w:val="00A94072"/>
    <w:rsid w:val="00AB309F"/>
    <w:rsid w:val="00AF620C"/>
    <w:rsid w:val="00B34B0F"/>
    <w:rsid w:val="00B44524"/>
    <w:rsid w:val="00B555C8"/>
    <w:rsid w:val="00B607C7"/>
    <w:rsid w:val="00B6290F"/>
    <w:rsid w:val="00B9149C"/>
    <w:rsid w:val="00BA5D71"/>
    <w:rsid w:val="00BB2D6C"/>
    <w:rsid w:val="00BC10C1"/>
    <w:rsid w:val="00BD0EAB"/>
    <w:rsid w:val="00BE2BDB"/>
    <w:rsid w:val="00C14474"/>
    <w:rsid w:val="00C15A0E"/>
    <w:rsid w:val="00C572D9"/>
    <w:rsid w:val="00C667D6"/>
    <w:rsid w:val="00C86E62"/>
    <w:rsid w:val="00CC15D0"/>
    <w:rsid w:val="00CC40D4"/>
    <w:rsid w:val="00CE560E"/>
    <w:rsid w:val="00D0640E"/>
    <w:rsid w:val="00D93A05"/>
    <w:rsid w:val="00DC1880"/>
    <w:rsid w:val="00DD45CA"/>
    <w:rsid w:val="00DE4DE1"/>
    <w:rsid w:val="00E42812"/>
    <w:rsid w:val="00E44012"/>
    <w:rsid w:val="00E444B2"/>
    <w:rsid w:val="00E45DBC"/>
    <w:rsid w:val="00E818B9"/>
    <w:rsid w:val="00EE4506"/>
    <w:rsid w:val="00F14AE0"/>
    <w:rsid w:val="00F31A21"/>
    <w:rsid w:val="00F412C8"/>
    <w:rsid w:val="00F96F05"/>
    <w:rsid w:val="00FC7E54"/>
    <w:rsid w:val="00FD4E04"/>
    <w:rsid w:val="00FE27BE"/>
    <w:rsid w:val="00FE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FA6EE-F4F8-42C4-8896-D3F978DA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3562</Words>
  <Characters>20310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VojtoPC</cp:lastModifiedBy>
  <cp:revision>4</cp:revision>
  <cp:lastPrinted>2018-07-09T09:29:00Z</cp:lastPrinted>
  <dcterms:created xsi:type="dcterms:W3CDTF">2020-06-21T19:03:00Z</dcterms:created>
  <dcterms:modified xsi:type="dcterms:W3CDTF">2020-06-23T12:48:00Z</dcterms:modified>
</cp:coreProperties>
</file>