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7405D0" w:rsidP="007405D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Konverácia r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>usk</w:t>
            </w:r>
            <w:r>
              <w:rPr>
                <w:rFonts w:ascii="Arial" w:hAnsi="Arial" w:cs="Arial"/>
                <w:b/>
                <w:sz w:val="28"/>
                <w:szCs w:val="28"/>
              </w:rPr>
              <w:t>ého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 xml:space="preserve"> jazyk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FF5F6C" w:rsidP="00FF5F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5B61A8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52828">
              <w:rPr>
                <w:rFonts w:ascii="Arial" w:hAnsi="Arial" w:cs="Arial"/>
                <w:sz w:val="18"/>
                <w:szCs w:val="18"/>
              </w:rPr>
              <w:t>5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7405D0">
              <w:rPr>
                <w:rFonts w:ascii="Arial" w:hAnsi="Arial" w:cs="Arial"/>
                <w:sz w:val="18"/>
                <w:szCs w:val="18"/>
              </w:rPr>
              <w:t>K</w:t>
            </w:r>
            <w:r w:rsidR="00F31A21">
              <w:rPr>
                <w:rFonts w:ascii="Arial" w:hAnsi="Arial" w:cs="Arial"/>
                <w:sz w:val="18"/>
                <w:szCs w:val="18"/>
              </w:rPr>
              <w:t>R</w:t>
            </w:r>
            <w:r w:rsidR="00452828">
              <w:rPr>
                <w:rFonts w:ascii="Arial" w:hAnsi="Arial" w:cs="Arial"/>
                <w:sz w:val="18"/>
                <w:szCs w:val="18"/>
              </w:rPr>
              <w:t>J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VLK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411AEE" w:rsidP="009974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</w:t>
            </w:r>
            <w:r w:rsidR="0099744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FF5F6C" w:rsidP="00981A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6426 L vlasová kozmetika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</w:t>
      </w:r>
      <w:r w:rsidR="0099744B">
        <w:t>prvého ročníka.</w:t>
      </w:r>
      <w:bookmarkStart w:id="0" w:name="_GoBack"/>
      <w:bookmarkEnd w:id="0"/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411AEE" w:rsidRPr="00411AEE">
        <w:rPr>
          <w:b/>
        </w:rPr>
        <w:t>konverzácia</w:t>
      </w:r>
      <w:r w:rsidR="00411AEE">
        <w:t xml:space="preserve"> </w:t>
      </w:r>
      <w:r w:rsidR="00895437" w:rsidRPr="003C3741">
        <w:rPr>
          <w:b/>
        </w:rPr>
        <w:t>rusk</w:t>
      </w:r>
      <w:r w:rsidR="00411AEE">
        <w:rPr>
          <w:b/>
        </w:rPr>
        <w:t>ého</w:t>
      </w:r>
      <w:r w:rsidR="00895437" w:rsidRPr="003C3741">
        <w:rPr>
          <w:b/>
        </w:rPr>
        <w:t xml:space="preserve"> jazyk</w:t>
      </w:r>
      <w:r w:rsidR="00411AEE">
        <w:rPr>
          <w:b/>
        </w:rPr>
        <w:t>a</w:t>
      </w:r>
      <w:r w:rsidR="00197177">
        <w:t xml:space="preserve"> </w:t>
      </w:r>
      <w:r w:rsidR="00E45DBC">
        <w:t xml:space="preserve">v </w:t>
      </w:r>
      <w:r w:rsidR="006159BB">
        <w:t>študíjnom</w:t>
      </w:r>
      <w:r w:rsidR="00895437">
        <w:t xml:space="preserve"> odbor</w:t>
      </w:r>
      <w:r w:rsidR="006159BB">
        <w:t>e vlasová kozmetika</w:t>
      </w:r>
      <w:r w:rsidR="00895437">
        <w:t xml:space="preserve"> svojím obsahom  vo všeobecnosti je </w:t>
      </w:r>
      <w:r w:rsidR="00E45DBC">
        <w:t>rozvijajúcim</w:t>
      </w:r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</w:t>
      </w:r>
      <w:r w:rsidR="004601BD">
        <w:t xml:space="preserve">konverzáciu </w:t>
      </w:r>
      <w:r w:rsidR="00895437">
        <w:t>rusk</w:t>
      </w:r>
      <w:r w:rsidR="004601BD">
        <w:t>ého</w:t>
      </w:r>
      <w:r w:rsidR="00895437">
        <w:t xml:space="preserve"> jazyk</w:t>
      </w:r>
      <w:r w:rsidR="004601BD">
        <w:t>a</w:t>
      </w:r>
      <w:r w:rsidR="00895437">
        <w:t xml:space="preserve"> ako </w:t>
      </w:r>
      <w:r w:rsidR="00E45DBC">
        <w:t>prvý</w:t>
      </w:r>
      <w:r w:rsidR="00895437">
        <w:t xml:space="preserve"> cudzí jazyk nadobudnú v základnom </w:t>
      </w:r>
      <w:r w:rsidR="00E45DBC">
        <w:t xml:space="preserve">a rozšírujúcom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DF41A9" w:rsidRDefault="007B6526" w:rsidP="00895437">
      <w:pPr>
        <w:jc w:val="both"/>
      </w:pPr>
      <w:r>
        <w:t xml:space="preserve">    </w:t>
      </w:r>
      <w:r w:rsidR="00DF41A9">
        <w:t xml:space="preserve">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040B78">
        <w:t xml:space="preserve"> tém: </w:t>
      </w:r>
      <w:r w:rsidR="00B555C8">
        <w:t>Rodina a príbuzní,</w:t>
      </w:r>
      <w:r w:rsidR="005B2663">
        <w:t xml:space="preserve"> Voľný čas, M</w:t>
      </w:r>
      <w:r w:rsidR="00040B78">
        <w:t>oja profesia, Sviatky a tradície, Obliekanie a móda, Jazyk, ktorý sa učím, V obchode, Kniha – priateľ človeka, Svetová mládež a</w:t>
      </w:r>
      <w:r w:rsidR="006159BB">
        <w:t> </w:t>
      </w:r>
      <w:r w:rsidR="00B555C8">
        <w:t>v</w:t>
      </w:r>
      <w:r w:rsidR="006159BB">
        <w:t xml:space="preserve"> druhom</w:t>
      </w:r>
      <w:r w:rsidR="00B555C8">
        <w:t xml:space="preserve"> ročníku sú to témy: Človek a spoločnosť, Starostlivosť o zdravie, Kultúra a</w:t>
      </w:r>
      <w:r w:rsidR="00040B78">
        <w:t> </w:t>
      </w:r>
      <w:r w:rsidR="00B555C8">
        <w:t>umenie</w:t>
      </w:r>
      <w:r w:rsidR="00040B78">
        <w:t>, Sviatky a tradície, Móda, Ruské zvyky a obyčaje, Medziľudské vzťahy, Kniha – priateľ človeka, Mládež a svet.</w:t>
      </w:r>
    </w:p>
    <w:p w:rsidR="00895437" w:rsidRDefault="00040B78" w:rsidP="00895437">
      <w:pPr>
        <w:jc w:val="both"/>
      </w:pPr>
      <w:r>
        <w:t xml:space="preserve">   </w:t>
      </w:r>
      <w:r w:rsidR="00DF41A9">
        <w:t xml:space="preserve">  </w:t>
      </w:r>
      <w:r w:rsidR="00895437">
        <w:t xml:space="preserve">Žiaci si musia uvedomiť, že </w:t>
      </w:r>
      <w:r w:rsidR="0066341A">
        <w:t xml:space="preserve">vyučovanie </w:t>
      </w:r>
      <w:r w:rsidR="004601BD">
        <w:t xml:space="preserve">konverzácie </w:t>
      </w:r>
      <w:r w:rsidR="0066341A">
        <w:t>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 xml:space="preserve">Predmet </w:t>
      </w:r>
      <w:r w:rsidR="004601BD">
        <w:t>konverzácia ruského</w:t>
      </w:r>
      <w:r w:rsidR="00895437">
        <w:t xml:space="preserve"> jazyk</w:t>
      </w:r>
      <w:r w:rsidR="004601BD">
        <w:t>a</w:t>
      </w:r>
      <w:r w:rsidR="00895437">
        <w:t xml:space="preserve"> prispieva k pochopeniu a</w:t>
      </w:r>
      <w:r w:rsidR="004601BD">
        <w:t xml:space="preserve"> k</w:t>
      </w:r>
      <w:r w:rsidR="00895437">
        <w:t>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3449DB" w:rsidRDefault="003449DB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077195" w:rsidRDefault="00077195" w:rsidP="00895437">
      <w:pPr>
        <w:jc w:val="both"/>
      </w:pPr>
    </w:p>
    <w:p w:rsidR="003449DB" w:rsidRDefault="003449DB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intrapersonálne,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r w:rsidR="00895437">
        <w:t>OaP</w:t>
      </w:r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stratégiach / počúvanie s porozumením, čítanie s porozumením/ spracovať hovorený, alebo napísaný text ako poslucháč, alebo čutateľ,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stratégiach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>oužívať hovorené a písané texty v komunikačných situáciach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včasti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Diskurzná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Diskurzná dimenzia v obsahovom štandarde je iba odporúčaná. Rozvíjanie </w:t>
      </w:r>
      <w:r w:rsidRPr="00A355E7">
        <w:rPr>
          <w:b/>
        </w:rPr>
        <w:t>Interkultúrnej dimenzie</w:t>
      </w:r>
      <w:r>
        <w:t xml:space="preserve"> umožnuje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r w:rsidRPr="00A355E7">
        <w:rPr>
          <w:b/>
        </w:rPr>
        <w:t>Diskurzná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sociálno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intrapersonálne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Pr="006134D6" w:rsidRDefault="00A355E7" w:rsidP="006134D6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134D6">
        <w:rPr>
          <w:b/>
          <w:sz w:val="28"/>
          <w:szCs w:val="28"/>
        </w:rPr>
        <w:t>5 -</w:t>
      </w: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077195">
        <w:trPr>
          <w:trHeight w:val="25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77195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 xml:space="preserve">1. Rodina a príbuzní   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Reproduktívna – riadený rozhovor</w:t>
            </w:r>
          </w:p>
          <w:p w:rsidR="00077195" w:rsidRDefault="00077195" w:rsidP="003357C3">
            <w:r>
              <w:t>Informačno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Frontálna a 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2. 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Demonštrovanie a pozorovanie</w:t>
            </w:r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Precvičovanie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3. Moja profesia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Výklad, komunikačná.</w:t>
            </w:r>
          </w:p>
          <w:p w:rsidR="00077195" w:rsidRDefault="0007719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Demonštrovanie postupu</w:t>
            </w:r>
          </w:p>
          <w:p w:rsidR="00077195" w:rsidRDefault="00077195" w:rsidP="003357C3">
            <w:r>
              <w:t>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4.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Reproduktívna – riadený rozhovor</w:t>
            </w:r>
          </w:p>
          <w:p w:rsidR="00077195" w:rsidRDefault="00077195" w:rsidP="003357C3">
            <w:r>
              <w:t>Informačno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Individuálna práca so zošitom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5. Odevy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Informačno – receptívna</w:t>
            </w:r>
          </w:p>
          <w:p w:rsidR="00077195" w:rsidRDefault="00077195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Demonštrovanie postupu</w:t>
            </w:r>
          </w:p>
          <w:p w:rsidR="00077195" w:rsidRDefault="00077195" w:rsidP="003357C3">
            <w:r>
              <w:t>Práca s textom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6. Jazyk, ktorý sa učím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Informačno – receptívna</w:t>
            </w:r>
          </w:p>
          <w:p w:rsidR="00077195" w:rsidRDefault="00077195" w:rsidP="003357C3">
            <w:r>
              <w:t>Heterodidaktická</w:t>
            </w:r>
          </w:p>
          <w:p w:rsidR="00077195" w:rsidRDefault="00077195" w:rsidP="003357C3">
            <w:r>
              <w:t>Reproduktívna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 xml:space="preserve">Práca s knihou </w:t>
            </w:r>
          </w:p>
          <w:p w:rsidR="00077195" w:rsidRDefault="00077195" w:rsidP="003357C3">
            <w:r>
              <w:t>Skupinová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7.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Reproduktívna – riadený rozhovor</w:t>
            </w:r>
          </w:p>
          <w:p w:rsidR="00077195" w:rsidRDefault="00077195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Individuálna práca na PC</w:t>
            </w:r>
          </w:p>
          <w:p w:rsidR="00077195" w:rsidRDefault="00077195" w:rsidP="003357C3">
            <w:r>
              <w:t>Písomná práca</w:t>
            </w:r>
          </w:p>
          <w:p w:rsidR="00077195" w:rsidRDefault="00077195" w:rsidP="003357C3">
            <w:r>
              <w:t>Terminovaná domáca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8.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Informačno – receptívna</w:t>
            </w:r>
          </w:p>
          <w:p w:rsidR="00077195" w:rsidRDefault="00077195" w:rsidP="003357C3">
            <w:r>
              <w:t>Heterodidaktická</w:t>
            </w:r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učebnicou</w:t>
            </w:r>
          </w:p>
          <w:p w:rsidR="00077195" w:rsidRDefault="00077195" w:rsidP="003357C3">
            <w:r>
              <w:t>Individuálna práca žiakov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9.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Reproduktívna – riadený rozhovor</w:t>
            </w:r>
          </w:p>
          <w:p w:rsidR="00077195" w:rsidRDefault="00077195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výučba</w:t>
            </w:r>
          </w:p>
          <w:p w:rsidR="00077195" w:rsidRDefault="00077195" w:rsidP="003357C3">
            <w:r>
              <w:t>Skupinová práca žiakov</w:t>
            </w:r>
          </w:p>
          <w:p w:rsidR="00077195" w:rsidRDefault="00077195" w:rsidP="003357C3">
            <w:r>
              <w:t>Práca so zošitom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10. Človek a spoločnosť 4.roč.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Informačno – receptívna</w:t>
            </w:r>
          </w:p>
          <w:p w:rsidR="00077195" w:rsidRDefault="00077195" w:rsidP="003357C3">
            <w:r>
              <w:t>Heterodidaktická</w:t>
            </w:r>
          </w:p>
          <w:p w:rsidR="00077195" w:rsidRDefault="00077195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Frontálna a individuálna práca žiakov</w:t>
            </w:r>
          </w:p>
          <w:p w:rsidR="00077195" w:rsidRDefault="00077195" w:rsidP="003357C3">
            <w:r>
              <w:t>Práca s textom na internete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11. 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Reproduktívna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Písomná práca</w:t>
            </w:r>
          </w:p>
          <w:p w:rsidR="00077195" w:rsidRDefault="00077195" w:rsidP="003357C3">
            <w:r>
              <w:t>Práca so zošitom</w:t>
            </w:r>
          </w:p>
          <w:p w:rsidR="00077195" w:rsidRDefault="00077195" w:rsidP="003357C3">
            <w:r>
              <w:t>Samostatné štúdium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12.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Informačno – receptívna</w:t>
            </w:r>
          </w:p>
          <w:p w:rsidR="00077195" w:rsidRDefault="00077195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Čítanie s porozumením</w:t>
            </w:r>
          </w:p>
          <w:p w:rsidR="00077195" w:rsidRDefault="00077195" w:rsidP="003357C3">
            <w:r>
              <w:t>Skupinová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13.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Demonštrovanie</w:t>
            </w:r>
          </w:p>
          <w:p w:rsidR="00077195" w:rsidRDefault="00077195" w:rsidP="003357C3">
            <w:r>
              <w:t>Informačno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knihou</w:t>
            </w:r>
          </w:p>
          <w:p w:rsidR="00077195" w:rsidRDefault="00077195" w:rsidP="003357C3">
            <w:r>
              <w:t>Individuálna práca žiakov</w:t>
            </w:r>
          </w:p>
          <w:p w:rsidR="00077195" w:rsidRDefault="00077195" w:rsidP="003357C3">
            <w:r>
              <w:t>Písomná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14. Obliekanie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Výkladovo – ilustratívna</w:t>
            </w:r>
          </w:p>
          <w:p w:rsidR="00077195" w:rsidRDefault="00077195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Skupinová práca</w:t>
            </w:r>
          </w:p>
          <w:p w:rsidR="00077195" w:rsidRDefault="00077195" w:rsidP="003357C3">
            <w:r>
              <w:t>Individuálna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15. Ruské zvyky a obyčaje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Heuristická – riešenie úloh</w:t>
            </w:r>
          </w:p>
          <w:p w:rsidR="00077195" w:rsidRDefault="00077195" w:rsidP="003357C3">
            <w:r>
              <w:t>Heterodidaktická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Skupinová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16. 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Výkladová</w:t>
            </w:r>
          </w:p>
          <w:p w:rsidR="00077195" w:rsidRDefault="0007719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Práca s textom, mapa</w:t>
            </w:r>
          </w:p>
          <w:p w:rsidR="00077195" w:rsidRDefault="00077195" w:rsidP="003357C3">
            <w:r>
              <w:t>Projekt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lastRenderedPageBreak/>
              <w:t>17.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Riadený rozhovor</w:t>
            </w:r>
          </w:p>
          <w:p w:rsidR="00077195" w:rsidRDefault="00077195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Samostatné štúdium</w:t>
            </w:r>
          </w:p>
          <w:p w:rsidR="00077195" w:rsidRDefault="00077195" w:rsidP="003357C3">
            <w:r>
              <w:t>Dialógy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18.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>
            <w:r>
              <w:t>Heuristická – riešenie úloh</w:t>
            </w:r>
          </w:p>
          <w:p w:rsidR="00077195" w:rsidRDefault="00077195" w:rsidP="003357C3">
            <w:r>
              <w:t>Heterodidaktická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Individuálna práca</w:t>
            </w:r>
          </w:p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/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/>
        </w:tc>
      </w:tr>
      <w:tr w:rsidR="00077195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077195" w:rsidRDefault="00077195" w:rsidP="003357C3"/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077195" w:rsidRDefault="00077195" w:rsidP="003357C3"/>
        </w:tc>
      </w:tr>
    </w:tbl>
    <w:p w:rsidR="00077195" w:rsidRDefault="00077195">
      <w:pPr>
        <w:spacing w:before="120"/>
        <w:jc w:val="both"/>
        <w:rPr>
          <w:b/>
          <w:sz w:val="28"/>
          <w:szCs w:val="28"/>
        </w:rPr>
      </w:pPr>
    </w:p>
    <w:p w:rsidR="00077195" w:rsidRDefault="00077195">
      <w:pPr>
        <w:spacing w:before="120"/>
        <w:jc w:val="both"/>
        <w:rPr>
          <w:b/>
          <w:sz w:val="28"/>
          <w:szCs w:val="28"/>
        </w:rPr>
      </w:pPr>
    </w:p>
    <w:p w:rsidR="00077195" w:rsidRDefault="00077195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7195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 xml:space="preserve">1. Rodina a príbuzní   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16790A">
            <w:r>
              <w:t>Jelínek S., Alexejeva L.F, Raduga 1,2, Fraus, Plzeň, 2011</w:t>
            </w:r>
          </w:p>
          <w:p w:rsidR="00077195" w:rsidRDefault="00077195" w:rsidP="0016790A">
            <w:r>
              <w:t>Kollárová E., Trušinová Ľ.B. Ruský jazyk, SPN, Bratislava 2010</w:t>
            </w:r>
          </w:p>
          <w:p w:rsidR="00077195" w:rsidRDefault="00077195" w:rsidP="0016790A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Azbuka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2. 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  <w:p w:rsidR="00077195" w:rsidRDefault="00077195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  <w:p w:rsidR="00077195" w:rsidRDefault="00077195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3. Moja profesia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4.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 xml:space="preserve">Kollárová E., Trušinová Ľ.B. Ruský jazyk, SPN, Bratislava </w:t>
            </w:r>
            <w:r>
              <w:lastRenderedPageBreak/>
              <w:t>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lastRenderedPageBreak/>
              <w:t>Tabuľa</w:t>
            </w:r>
          </w:p>
          <w:p w:rsidR="00077195" w:rsidRDefault="00077195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Pracovné zošity</w:t>
            </w:r>
          </w:p>
          <w:p w:rsidR="00077195" w:rsidRDefault="00077195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 xml:space="preserve">Kolektív autorov, Príručná gramatika RUJ pre </w:t>
            </w:r>
            <w:r>
              <w:lastRenderedPageBreak/>
              <w:t>SŠ, SPN, Bratislava 1975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lastRenderedPageBreak/>
              <w:t>5. Odevy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Video</w:t>
            </w:r>
          </w:p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  <w:p w:rsidR="00077195" w:rsidRDefault="00077195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  <w:p w:rsidR="00077195" w:rsidRDefault="00077195" w:rsidP="003357C3">
            <w:r>
              <w:t>Obrázkový materiál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6. Jazyk, ktorý sa učím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  <w:p w:rsidR="00077195" w:rsidRDefault="00077195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7.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Video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8.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Kolektív autorov, Ruská konverzácia pre SŠ, SPN, Bratislava 1978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9.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  <w:p w:rsidR="00077195" w:rsidRDefault="00077195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Zošity</w:t>
            </w:r>
          </w:p>
          <w:p w:rsidR="00077195" w:rsidRDefault="00077195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  <w:p w:rsidR="00077195" w:rsidRDefault="00077195" w:rsidP="003357C3">
            <w:r>
              <w:t xml:space="preserve">Kolektív autorov, Moskva, Jazykovedná a krajinovedná príručka, Moskva </w:t>
            </w:r>
            <w:r>
              <w:lastRenderedPageBreak/>
              <w:t>1983</w:t>
            </w:r>
          </w:p>
          <w:p w:rsidR="00077195" w:rsidRDefault="00077195" w:rsidP="003357C3"/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lastRenderedPageBreak/>
              <w:t>10. Človek a spoločnosť 4.roč.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  <w:p w:rsidR="00077195" w:rsidRDefault="00077195" w:rsidP="003357C3">
            <w:r>
              <w:t>www. ruskodnes.ru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11. 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Obrázkový materiál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12.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  <w:p w:rsidR="00077195" w:rsidRDefault="00077195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Pracovné zošity</w:t>
            </w:r>
          </w:p>
          <w:p w:rsidR="00077195" w:rsidRDefault="00077195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Kolektív autorov, Slovacko-russkij slovar, SPN, Bratislava-Moskva, 1976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13.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  <w:p w:rsidR="00077195" w:rsidRDefault="00077195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Učebnice</w:t>
            </w:r>
          </w:p>
          <w:p w:rsidR="00077195" w:rsidRDefault="00077195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Prekladový rusko-slovenský a slovensko-ruský slovník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14. Obliekanie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15. Ruské zvyky a obyčaje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lastRenderedPageBreak/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lastRenderedPageBreak/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Pr="00D61703" w:rsidRDefault="00077195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3357C3">
            <w:r>
              <w:t>Internet Prekladový rusko-</w:t>
            </w:r>
            <w:r>
              <w:lastRenderedPageBreak/>
              <w:t>slovenský a slovensko-ruský slovník 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lastRenderedPageBreak/>
              <w:t>16.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4E0A76">
              <w:t>Tabuľa</w:t>
            </w:r>
          </w:p>
          <w:p w:rsidR="00077195" w:rsidRDefault="00077195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EA47EF">
              <w:t>Internet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17.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Pr="00D61703" w:rsidRDefault="00077195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77195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782014">
            <w:r>
              <w:t>18.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FE5F8F">
            <w:r>
              <w:t>Jelínek S., Alexejeva L.F, Raduga 1,2, Fraus, Plzeň, 2011</w:t>
            </w:r>
          </w:p>
          <w:p w:rsidR="00077195" w:rsidRDefault="00077195" w:rsidP="00FE5F8F">
            <w:r>
              <w:t>Kollárová E., Trušinová Ľ.B. Ruský jazyk, SPN, Bratislava 2010</w:t>
            </w:r>
          </w:p>
          <w:p w:rsidR="00077195" w:rsidRDefault="00077195" w:rsidP="00FE5F8F">
            <w:r>
              <w:t>Orlova N, Vágnerová M., Klass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4E0A76">
              <w:t>Tabuľa</w:t>
            </w:r>
          </w:p>
          <w:p w:rsidR="00077195" w:rsidRDefault="00077195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 w:rsidP="00B555C8">
            <w:r>
              <w:t>Učebnice</w:t>
            </w:r>
          </w:p>
          <w:p w:rsidR="00077195" w:rsidRDefault="00077195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7195" w:rsidRDefault="00077195">
            <w:r w:rsidRPr="00EA47EF">
              <w:t>Internet</w:t>
            </w:r>
          </w:p>
        </w:tc>
      </w:tr>
    </w:tbl>
    <w:p w:rsidR="001556FE" w:rsidRDefault="001556FE" w:rsidP="006134D6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B9A"/>
    <w:rsid w:val="00026DD3"/>
    <w:rsid w:val="00040B78"/>
    <w:rsid w:val="00044179"/>
    <w:rsid w:val="00050493"/>
    <w:rsid w:val="0007347D"/>
    <w:rsid w:val="00077195"/>
    <w:rsid w:val="00081932"/>
    <w:rsid w:val="000B20F8"/>
    <w:rsid w:val="000B3DA3"/>
    <w:rsid w:val="000C4908"/>
    <w:rsid w:val="0013704A"/>
    <w:rsid w:val="00147639"/>
    <w:rsid w:val="001556FE"/>
    <w:rsid w:val="0016790A"/>
    <w:rsid w:val="00170D02"/>
    <w:rsid w:val="001864CD"/>
    <w:rsid w:val="001960B3"/>
    <w:rsid w:val="00197177"/>
    <w:rsid w:val="001A2C1D"/>
    <w:rsid w:val="001B2304"/>
    <w:rsid w:val="001C5C5F"/>
    <w:rsid w:val="001D4FD8"/>
    <w:rsid w:val="001D599B"/>
    <w:rsid w:val="001D6A3B"/>
    <w:rsid w:val="001E4891"/>
    <w:rsid w:val="001E4C5E"/>
    <w:rsid w:val="001F3C46"/>
    <w:rsid w:val="001F6278"/>
    <w:rsid w:val="00222FEB"/>
    <w:rsid w:val="0025753F"/>
    <w:rsid w:val="00257BEE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449DB"/>
    <w:rsid w:val="0035538A"/>
    <w:rsid w:val="00356198"/>
    <w:rsid w:val="00363F2F"/>
    <w:rsid w:val="00384606"/>
    <w:rsid w:val="003E3FAC"/>
    <w:rsid w:val="00411AEE"/>
    <w:rsid w:val="004217FA"/>
    <w:rsid w:val="00421DD5"/>
    <w:rsid w:val="00444094"/>
    <w:rsid w:val="004449BC"/>
    <w:rsid w:val="00452828"/>
    <w:rsid w:val="004601BD"/>
    <w:rsid w:val="004741DE"/>
    <w:rsid w:val="00476297"/>
    <w:rsid w:val="00483EBC"/>
    <w:rsid w:val="004D4C1F"/>
    <w:rsid w:val="004E6E5B"/>
    <w:rsid w:val="004F43F6"/>
    <w:rsid w:val="005068CE"/>
    <w:rsid w:val="00542F0D"/>
    <w:rsid w:val="00551E12"/>
    <w:rsid w:val="00562CD8"/>
    <w:rsid w:val="00591E89"/>
    <w:rsid w:val="0059710F"/>
    <w:rsid w:val="005B2663"/>
    <w:rsid w:val="005B61A8"/>
    <w:rsid w:val="005C0BD5"/>
    <w:rsid w:val="005E27C7"/>
    <w:rsid w:val="005E2AF6"/>
    <w:rsid w:val="00602C8D"/>
    <w:rsid w:val="006134D6"/>
    <w:rsid w:val="006159BB"/>
    <w:rsid w:val="00621B2A"/>
    <w:rsid w:val="006264CA"/>
    <w:rsid w:val="00646790"/>
    <w:rsid w:val="00660316"/>
    <w:rsid w:val="0066341A"/>
    <w:rsid w:val="006725C2"/>
    <w:rsid w:val="00692D90"/>
    <w:rsid w:val="006B0BB1"/>
    <w:rsid w:val="006B18AF"/>
    <w:rsid w:val="0070110A"/>
    <w:rsid w:val="00721872"/>
    <w:rsid w:val="00723812"/>
    <w:rsid w:val="007337D3"/>
    <w:rsid w:val="007405D0"/>
    <w:rsid w:val="0074483A"/>
    <w:rsid w:val="00750A56"/>
    <w:rsid w:val="00761483"/>
    <w:rsid w:val="00784CE7"/>
    <w:rsid w:val="00793FDA"/>
    <w:rsid w:val="007A24AA"/>
    <w:rsid w:val="007B6526"/>
    <w:rsid w:val="007E198E"/>
    <w:rsid w:val="00823E5A"/>
    <w:rsid w:val="00824808"/>
    <w:rsid w:val="00831471"/>
    <w:rsid w:val="00832F69"/>
    <w:rsid w:val="008510A5"/>
    <w:rsid w:val="00861330"/>
    <w:rsid w:val="00867482"/>
    <w:rsid w:val="00880EBB"/>
    <w:rsid w:val="0088467F"/>
    <w:rsid w:val="00895437"/>
    <w:rsid w:val="008B0FC6"/>
    <w:rsid w:val="008D0D5A"/>
    <w:rsid w:val="008D1DEF"/>
    <w:rsid w:val="008D2257"/>
    <w:rsid w:val="008D6EC9"/>
    <w:rsid w:val="0090483C"/>
    <w:rsid w:val="00916B9A"/>
    <w:rsid w:val="0093478F"/>
    <w:rsid w:val="009734C5"/>
    <w:rsid w:val="009777ED"/>
    <w:rsid w:val="00977BB1"/>
    <w:rsid w:val="00981742"/>
    <w:rsid w:val="00981A01"/>
    <w:rsid w:val="009959D0"/>
    <w:rsid w:val="00996295"/>
    <w:rsid w:val="0099744B"/>
    <w:rsid w:val="009F06CE"/>
    <w:rsid w:val="00A130CA"/>
    <w:rsid w:val="00A355E7"/>
    <w:rsid w:val="00A44324"/>
    <w:rsid w:val="00A44B65"/>
    <w:rsid w:val="00A55D17"/>
    <w:rsid w:val="00A56CD9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A5D71"/>
    <w:rsid w:val="00BB2D6C"/>
    <w:rsid w:val="00BC10C1"/>
    <w:rsid w:val="00BD0EAB"/>
    <w:rsid w:val="00BE2BDB"/>
    <w:rsid w:val="00C14474"/>
    <w:rsid w:val="00C15A0E"/>
    <w:rsid w:val="00C667D6"/>
    <w:rsid w:val="00C86E62"/>
    <w:rsid w:val="00CC15D0"/>
    <w:rsid w:val="00CC40D4"/>
    <w:rsid w:val="00CE560E"/>
    <w:rsid w:val="00D03896"/>
    <w:rsid w:val="00D0640E"/>
    <w:rsid w:val="00D60D13"/>
    <w:rsid w:val="00D93A05"/>
    <w:rsid w:val="00DC0EFE"/>
    <w:rsid w:val="00DC1880"/>
    <w:rsid w:val="00DD45CA"/>
    <w:rsid w:val="00DE4DE1"/>
    <w:rsid w:val="00DF41A9"/>
    <w:rsid w:val="00E42812"/>
    <w:rsid w:val="00E44012"/>
    <w:rsid w:val="00E444B2"/>
    <w:rsid w:val="00E45DBC"/>
    <w:rsid w:val="00E818B9"/>
    <w:rsid w:val="00EE4506"/>
    <w:rsid w:val="00F14AE0"/>
    <w:rsid w:val="00F23D06"/>
    <w:rsid w:val="00F31A21"/>
    <w:rsid w:val="00F412C8"/>
    <w:rsid w:val="00F4677C"/>
    <w:rsid w:val="00F96F05"/>
    <w:rsid w:val="00FC7E54"/>
    <w:rsid w:val="00FD4E04"/>
    <w:rsid w:val="00FE27BE"/>
    <w:rsid w:val="00FE4C33"/>
    <w:rsid w:val="00FE5F8F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AD527"/>
  <w15:docId w15:val="{B9140C2A-BE16-485F-86CA-7C24DEFA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86FA0-72E7-478E-816A-F6252E41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2759</Words>
  <Characters>15732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Adriana Vinclavova</cp:lastModifiedBy>
  <cp:revision>4</cp:revision>
  <cp:lastPrinted>2018-07-09T09:29:00Z</cp:lastPrinted>
  <dcterms:created xsi:type="dcterms:W3CDTF">2020-06-22T14:11:00Z</dcterms:created>
  <dcterms:modified xsi:type="dcterms:W3CDTF">2021-05-25T16:02:00Z</dcterms:modified>
</cp:coreProperties>
</file>