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DB1B85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4318538" w:rsidR="007A54FE" w:rsidRPr="0047280F" w:rsidRDefault="00DB1B85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Pravidlá riadenia osobných financií</w:t>
            </w:r>
          </w:p>
        </w:tc>
      </w:tr>
      <w:tr w:rsidR="007A54FE" w:rsidRPr="0047280F" w14:paraId="4F8FE5D7" w14:textId="77777777" w:rsidTr="00DB1B85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3DE0C6FB" w:rsidR="007A54FE" w:rsidRPr="0047280F" w:rsidRDefault="007A54FE" w:rsidP="00FB553D">
            <w:r>
              <w:t>S</w:t>
            </w:r>
            <w:r w:rsidRPr="0047280F">
              <w:t>_</w:t>
            </w:r>
            <w:r w:rsidR="00DB1B85">
              <w:t>3</w:t>
            </w:r>
            <w:r w:rsidR="00BF254F">
              <w:t>0</w:t>
            </w:r>
            <w:r w:rsidRPr="0047280F">
              <w:t>_</w:t>
            </w:r>
            <w:r w:rsidR="00DB1B85">
              <w:t>PBF</w:t>
            </w:r>
            <w:r>
              <w:t>_</w:t>
            </w:r>
            <w:r w:rsidR="00DB1B85">
              <w:t>KOV</w:t>
            </w:r>
            <w:r w:rsidR="00011D74">
              <w:t>_</w:t>
            </w:r>
            <w:r w:rsidR="00DB1B85">
              <w:t>KAV</w:t>
            </w:r>
          </w:p>
        </w:tc>
      </w:tr>
      <w:tr w:rsidR="007A54FE" w:rsidRPr="0047280F" w14:paraId="345A86EC" w14:textId="77777777" w:rsidTr="00DB1B85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116746F5" w:rsidR="007A54FE" w:rsidRPr="0047280F" w:rsidRDefault="00DB1B85" w:rsidP="00FB553D">
            <w:r>
              <w:t>0</w:t>
            </w:r>
            <w:r w:rsidR="007A54FE" w:rsidRPr="0047280F">
              <w:t>/</w:t>
            </w:r>
            <w:r>
              <w:t>0</w:t>
            </w:r>
            <w:r w:rsidR="007A54FE" w:rsidRPr="0047280F">
              <w:t>/</w:t>
            </w:r>
            <w:r w:rsidR="007A54FE">
              <w:t>1/</w:t>
            </w:r>
            <w:r>
              <w:t>0</w:t>
            </w:r>
          </w:p>
        </w:tc>
      </w:tr>
      <w:tr w:rsidR="007A54FE" w:rsidRPr="0047280F" w14:paraId="4403F1FA" w14:textId="77777777" w:rsidTr="00DB1B85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536E86CF" w:rsidR="008F5FF9" w:rsidRPr="0047280F" w:rsidRDefault="00DB1B85" w:rsidP="00FB553D">
            <w:r w:rsidRPr="00DB1B85">
              <w:t>6425 K kaderník - vizážista/kaderníčka - vizážistka</w:t>
            </w:r>
            <w:r w:rsidRPr="00DB1B85">
              <w:br/>
              <w:t>6463 K kozmetik - vizážista/kozmetička - vizážistka</w:t>
            </w:r>
          </w:p>
        </w:tc>
      </w:tr>
      <w:tr w:rsidR="007A54FE" w:rsidRPr="0047280F" w14:paraId="1717ACFB" w14:textId="77777777" w:rsidTr="00DB1B85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A359A7">
      <w:pPr>
        <w:pStyle w:val="Nadpis1"/>
        <w:numPr>
          <w:ilvl w:val="0"/>
          <w:numId w:val="20"/>
        </w:numPr>
      </w:pPr>
      <w:r>
        <w:t>Charakteristika učebného predmetu</w:t>
      </w:r>
    </w:p>
    <w:p w14:paraId="7A1E6748" w14:textId="355BC7DD" w:rsidR="00DB1B85" w:rsidRDefault="00DB1B85" w:rsidP="00E77E09">
      <w:pPr>
        <w:pStyle w:val="Zkladntext"/>
        <w:spacing w:before="117" w:line="276" w:lineRule="auto"/>
        <w:ind w:right="124"/>
      </w:pPr>
      <w:r>
        <w:t>Obsah vyučovacieho predmetu vychádza zo vzdeláva</w:t>
      </w:r>
      <w:r w:rsidR="00655361">
        <w:t xml:space="preserve">cích štandardov 64 Ekonomika a organizácia, obchod a služby II. Pomôže žiakovi pri rozhodovaní o ďalšej profesijnej a vzdelávacej orientácii, pri vstupe na trh práce a pri uplatňovaní pracovných práv. </w:t>
      </w:r>
    </w:p>
    <w:p w14:paraId="7AFADA07" w14:textId="770FA01A" w:rsidR="00A359A7" w:rsidRDefault="00A359A7" w:rsidP="00A359A7">
      <w:pPr>
        <w:pStyle w:val="Nadpis1"/>
        <w:keepLines w:val="0"/>
        <w:numPr>
          <w:ilvl w:val="0"/>
          <w:numId w:val="20"/>
        </w:numPr>
        <w:spacing w:after="60"/>
      </w:pPr>
      <w:r>
        <w:t>Ciele učebného predmetu</w:t>
      </w:r>
    </w:p>
    <w:p w14:paraId="08016822" w14:textId="6E1F9F31" w:rsidR="00DB1B85" w:rsidRDefault="00655361" w:rsidP="00E77E09">
      <w:pPr>
        <w:pStyle w:val="Zkladntext"/>
        <w:spacing w:before="117" w:line="276" w:lineRule="auto"/>
        <w:ind w:right="124"/>
      </w:pPr>
      <w:r>
        <w:t xml:space="preserve">Cieľom je príprava absolventa s konkrétnym odborným profilom, ktorý mu pomôže úspešne sa presadiť na trhu práce i v živote. Žiaci sa zoznámia </w:t>
      </w:r>
      <w:r w:rsidR="00DB1B85">
        <w:t>s rýchlo sa rozvíjajúcou oblasťou finančných produktov a</w:t>
      </w:r>
      <w:r>
        <w:t> </w:t>
      </w:r>
      <w:r w:rsidR="00DB1B85">
        <w:t>služieb</w:t>
      </w:r>
      <w:r>
        <w:t xml:space="preserve">. Vedie ich </w:t>
      </w:r>
      <w:r w:rsidR="00DB1B85">
        <w:t>k pochopeniu a prijatiu osobnej zodpovednosti</w:t>
      </w:r>
      <w:r>
        <w:t xml:space="preserve"> </w:t>
      </w:r>
      <w:r w:rsidR="00DB1B85">
        <w:t>za finančné zabezpečenie seba aj svojej rodiny. V širšom kontexte tiež viesť k uvedomeniu si dôsledkov</w:t>
      </w:r>
      <w:r>
        <w:t xml:space="preserve"> </w:t>
      </w:r>
      <w:r w:rsidR="00DB1B85">
        <w:t xml:space="preserve">socioekonomického vývoja spoločnosti, najmä s ohľadom na prevenciu </w:t>
      </w:r>
      <w:proofErr w:type="spellStart"/>
      <w:r w:rsidR="00C304B8">
        <w:t>za</w:t>
      </w:r>
      <w:r w:rsidR="00DB1B85">
        <w:t>dĺženia</w:t>
      </w:r>
      <w:proofErr w:type="spellEnd"/>
      <w:r w:rsidR="00DB1B85">
        <w:t xml:space="preserve"> a zabezpečenie sa</w:t>
      </w:r>
      <w:r>
        <w:t xml:space="preserve"> v </w:t>
      </w:r>
      <w:r w:rsidR="00DB1B85">
        <w:t>starobe.</w:t>
      </w:r>
    </w:p>
    <w:p w14:paraId="19C99035" w14:textId="3F8AE33D" w:rsidR="00DB1B85" w:rsidRDefault="00655361" w:rsidP="00E77E09">
      <w:pPr>
        <w:pStyle w:val="Zkladntext"/>
        <w:spacing w:before="117" w:line="276" w:lineRule="auto"/>
        <w:ind w:right="124"/>
      </w:pPr>
      <w:r>
        <w:t xml:space="preserve">Riadenie osobných financií je potrebné na to, </w:t>
      </w:r>
      <w:r w:rsidR="00DB1B85">
        <w:t>aby finančne zabezpečil seba a svoju rodinu v súčasnej spoločnosti a aktívne vystupoval na trhu</w:t>
      </w:r>
      <w:r>
        <w:t xml:space="preserve"> </w:t>
      </w:r>
      <w:r w:rsidR="00DB1B85">
        <w:t>finančných produktov a služieb. Finančne gramotný občan sa orientuje v problematike peňazí a cien a</w:t>
      </w:r>
      <w:r>
        <w:t> </w:t>
      </w:r>
      <w:r w:rsidR="00DB1B85">
        <w:t>je</w:t>
      </w:r>
      <w:r>
        <w:t xml:space="preserve"> </w:t>
      </w:r>
      <w:r w:rsidR="00DB1B85">
        <w:t>schopný zodpovedne spravovať osobný/rodinný rozpočet, vrátane správy finančných aktív a</w:t>
      </w:r>
      <w:r>
        <w:t> </w:t>
      </w:r>
      <w:r w:rsidR="00DB1B85">
        <w:t>finančných</w:t>
      </w:r>
      <w:r>
        <w:t xml:space="preserve"> </w:t>
      </w:r>
      <w:r w:rsidR="00DB1B85">
        <w:t>záväzkov s ohľadom na meniace sa životné situácie.</w:t>
      </w:r>
    </w:p>
    <w:p w14:paraId="15AC7A9B" w14:textId="48FCE6A7" w:rsidR="007A54FE" w:rsidRDefault="007A54FE" w:rsidP="00E77E09">
      <w:pPr>
        <w:pStyle w:val="Zkladntext"/>
        <w:spacing w:after="240" w:line="276" w:lineRule="auto"/>
        <w:jc w:val="both"/>
      </w:pPr>
      <w:r>
        <w:t xml:space="preserve">Vzdelávací obsah predmetu je rozdelený do </w:t>
      </w:r>
      <w:r w:rsidR="00A839CD">
        <w:t>štyroch</w:t>
      </w:r>
      <w:r>
        <w:t xml:space="preserve"> tematických okruhov:</w:t>
      </w:r>
    </w:p>
    <w:p w14:paraId="05CB4DDE" w14:textId="77777777" w:rsidR="00A839CD" w:rsidRDefault="00C304B8" w:rsidP="00A839CD">
      <w:pPr>
        <w:spacing w:line="276" w:lineRule="auto"/>
      </w:pPr>
      <w:r>
        <w:t xml:space="preserve"> </w:t>
      </w:r>
      <w:r w:rsidR="00A839CD">
        <w:t xml:space="preserve">Plánovanie, príjem a práca </w:t>
      </w:r>
    </w:p>
    <w:p w14:paraId="02873AAF" w14:textId="77777777" w:rsidR="00A839CD" w:rsidRDefault="00C304B8" w:rsidP="00C304B8">
      <w:pPr>
        <w:pStyle w:val="Zkladntext"/>
        <w:spacing w:line="276" w:lineRule="auto"/>
        <w:ind w:right="124"/>
        <w:jc w:val="both"/>
      </w:pPr>
      <w:r>
        <w:t xml:space="preserve"> </w:t>
      </w:r>
      <w:r w:rsidR="00A839CD">
        <w:t xml:space="preserve">Úver a dlh </w:t>
      </w:r>
    </w:p>
    <w:p w14:paraId="2BB60146" w14:textId="1BF8EB29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</w:t>
      </w:r>
      <w:r w:rsidR="00A839CD">
        <w:t>Sporenie a investovanie</w:t>
      </w:r>
      <w:r w:rsidR="007A54FE">
        <w:t xml:space="preserve"> </w:t>
      </w:r>
    </w:p>
    <w:p w14:paraId="3AC3EB93" w14:textId="19200CB4" w:rsidR="00DB1B85" w:rsidRDefault="00C304B8" w:rsidP="00A839CD">
      <w:pPr>
        <w:pStyle w:val="Zkladntext"/>
        <w:spacing w:line="276" w:lineRule="auto"/>
        <w:ind w:right="124"/>
        <w:jc w:val="both"/>
      </w:pPr>
      <w:r>
        <w:t xml:space="preserve"> </w:t>
      </w:r>
      <w:r w:rsidR="00A839CD">
        <w:t xml:space="preserve">Riadenie rizika a poistenie </w:t>
      </w:r>
    </w:p>
    <w:p w14:paraId="0CEA9F7F" w14:textId="77777777" w:rsidR="00A839CD" w:rsidRPr="00DB1B85" w:rsidRDefault="00A839CD" w:rsidP="00A839CD">
      <w:pPr>
        <w:pStyle w:val="Zkladntext"/>
        <w:spacing w:line="276" w:lineRule="auto"/>
        <w:ind w:right="124"/>
        <w:jc w:val="both"/>
      </w:pPr>
    </w:p>
    <w:p w14:paraId="413AD878" w14:textId="0DC064FD" w:rsidR="007A54FE" w:rsidRDefault="007A54FE" w:rsidP="00C304B8">
      <w:pPr>
        <w:pStyle w:val="Nadpis1"/>
        <w:keepLines w:val="0"/>
        <w:numPr>
          <w:ilvl w:val="0"/>
          <w:numId w:val="20"/>
        </w:numPr>
        <w:spacing w:after="60"/>
      </w:pPr>
      <w:r>
        <w:t>Š</w:t>
      </w:r>
      <w:r w:rsidR="00B93249">
        <w:t>tandard kompetencií</w:t>
      </w:r>
    </w:p>
    <w:p w14:paraId="098F4AAA" w14:textId="5FF39C83" w:rsidR="007A54FE" w:rsidRDefault="00AD3B69" w:rsidP="00AD3B69">
      <w:pPr>
        <w:pStyle w:val="Zkladntext"/>
        <w:spacing w:before="117"/>
        <w:jc w:val="both"/>
      </w:pPr>
      <w:r>
        <w:t xml:space="preserve">Vzdelávacie štandardy pre študijné odbory skupiny odborov 64 Ekonomika a organizácia, obchod a služby II </w:t>
      </w:r>
    </w:p>
    <w:p w14:paraId="593011C8" w14:textId="6E1428E4" w:rsidR="007A54FE" w:rsidRPr="00047A1A" w:rsidRDefault="00AD3B69" w:rsidP="00047A1A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 w:rsidRPr="00047A1A">
        <w:rPr>
          <w:iCs/>
          <w:sz w:val="28"/>
          <w:szCs w:val="28"/>
        </w:rPr>
        <w:t>Vzdelávacie štandardy</w:t>
      </w:r>
      <w:r w:rsidR="00047A1A">
        <w:rPr>
          <w:iCs/>
          <w:sz w:val="28"/>
          <w:szCs w:val="28"/>
        </w:rPr>
        <w:t xml:space="preserve"> – ekonomické vzdelávanie</w:t>
      </w:r>
    </w:p>
    <w:p w14:paraId="796E3640" w14:textId="787C749A" w:rsidR="00047A1A" w:rsidRDefault="00047A1A" w:rsidP="00411A0E">
      <w:pPr>
        <w:spacing w:line="276" w:lineRule="auto"/>
      </w:pPr>
      <w:r>
        <w:t xml:space="preserve">- vyhodnotiť vzťah práce a osobného príjmu; </w:t>
      </w:r>
    </w:p>
    <w:p w14:paraId="0E376E49" w14:textId="77777777" w:rsidR="00E77E09" w:rsidRDefault="00047A1A" w:rsidP="00411A0E">
      <w:pPr>
        <w:spacing w:line="276" w:lineRule="auto"/>
      </w:pPr>
      <w:r>
        <w:t xml:space="preserve">- uviesť príklady zdrojov príjmu iných než mzda (napr. dar, provízia a zisk, peňažný príjem </w:t>
      </w:r>
    </w:p>
    <w:p w14:paraId="1B6B23C9" w14:textId="2057138A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domácnosti, štátne príspevky a sociálne dávky, príjem z podnikateľskej činnosti); </w:t>
      </w:r>
    </w:p>
    <w:p w14:paraId="784894A8" w14:textId="77777777" w:rsidR="00047A1A" w:rsidRDefault="00047A1A" w:rsidP="00411A0E">
      <w:pPr>
        <w:spacing w:line="276" w:lineRule="auto"/>
      </w:pPr>
      <w:r>
        <w:lastRenderedPageBreak/>
        <w:t xml:space="preserve">- opísať spôsoby krytia deficitu (úvery, splátkový predaj, leasing); </w:t>
      </w:r>
    </w:p>
    <w:p w14:paraId="137BEB8B" w14:textId="77777777" w:rsidR="00047A1A" w:rsidRDefault="00047A1A" w:rsidP="00411A0E">
      <w:pPr>
        <w:spacing w:line="276" w:lineRule="auto"/>
      </w:pPr>
      <w:r>
        <w:t xml:space="preserve">- vysvetliť možnosti, ako splácať dlhy; </w:t>
      </w:r>
    </w:p>
    <w:p w14:paraId="1407E660" w14:textId="77777777" w:rsidR="00047A1A" w:rsidRDefault="00047A1A" w:rsidP="00411A0E">
      <w:pPr>
        <w:spacing w:line="276" w:lineRule="auto"/>
      </w:pPr>
      <w:r>
        <w:t xml:space="preserve">- navrhnúť spôsoby riešenia schodkového a prebytkového rozpočtu; </w:t>
      </w:r>
    </w:p>
    <w:p w14:paraId="579FC4D7" w14:textId="77777777" w:rsidR="00047A1A" w:rsidRDefault="00047A1A" w:rsidP="00411A0E">
      <w:pPr>
        <w:spacing w:line="276" w:lineRule="auto"/>
      </w:pPr>
      <w:r>
        <w:t xml:space="preserve">- zhodnotiť ako vplýva spotreba na úspory a/alebo investície; </w:t>
      </w:r>
    </w:p>
    <w:p w14:paraId="274F5408" w14:textId="77777777" w:rsidR="00047A1A" w:rsidRDefault="00047A1A" w:rsidP="00411A0E">
      <w:pPr>
        <w:spacing w:line="276" w:lineRule="auto"/>
      </w:pPr>
      <w:r>
        <w:t xml:space="preserve">- stanoviť si kroky na dosiahnutie krátko, stredne a dlhodobých finančných cieľov; </w:t>
      </w:r>
    </w:p>
    <w:p w14:paraId="25D5F178" w14:textId="77777777" w:rsidR="00E77E09" w:rsidRDefault="00047A1A" w:rsidP="00411A0E">
      <w:pPr>
        <w:spacing w:line="276" w:lineRule="auto"/>
      </w:pPr>
      <w:r>
        <w:t xml:space="preserve">- charakterizovať ročnú percentuálnu mieru nákladov (RPMN), úrokovú mieru, fixáciu, </w:t>
      </w:r>
    </w:p>
    <w:p w14:paraId="109103E4" w14:textId="7E0D028E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predčasné splatenie úveru; </w:t>
      </w:r>
    </w:p>
    <w:p w14:paraId="264F0C75" w14:textId="77777777" w:rsidR="00047A1A" w:rsidRDefault="00047A1A" w:rsidP="00411A0E">
      <w:pPr>
        <w:spacing w:line="276" w:lineRule="auto"/>
      </w:pPr>
      <w:r>
        <w:t xml:space="preserve">- navrhnúť výber najvhodnejšieho finančného produktu vzhľadom na svoje potreby; </w:t>
      </w:r>
    </w:p>
    <w:p w14:paraId="1E3E0FAE" w14:textId="77777777" w:rsidR="00E77E09" w:rsidRDefault="00047A1A" w:rsidP="00411A0E">
      <w:pPr>
        <w:spacing w:line="276" w:lineRule="auto"/>
      </w:pPr>
      <w:r>
        <w:t xml:space="preserve">- identifikovať rôzne druhy úverov a ich zabezpečenie (vrátane úverov na bývanie resp. </w:t>
      </w:r>
    </w:p>
    <w:p w14:paraId="419DBB0C" w14:textId="7DD4DF6C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hypotekárnych úverov); </w:t>
      </w:r>
    </w:p>
    <w:p w14:paraId="5B1D8D54" w14:textId="77777777" w:rsidR="00047A1A" w:rsidRDefault="00047A1A" w:rsidP="00411A0E">
      <w:pPr>
        <w:spacing w:line="276" w:lineRule="auto"/>
      </w:pPr>
      <w:r>
        <w:t xml:space="preserve">- uviesť rozdiel pri poskytovaní úveru pre bežného občana a pre podnikateľa; </w:t>
      </w:r>
    </w:p>
    <w:p w14:paraId="1C3EC97A" w14:textId="77777777" w:rsidR="00E77E09" w:rsidRDefault="00047A1A" w:rsidP="00411A0E">
      <w:pPr>
        <w:spacing w:line="276" w:lineRule="auto"/>
      </w:pPr>
      <w:r>
        <w:t xml:space="preserve">- posúdiť účel vyhlásenia (osobného) bankrotu a jeho možné dôsledky na majetok, </w:t>
      </w:r>
    </w:p>
    <w:p w14:paraId="4C60EA66" w14:textId="1213CD99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zamestnanosť, cenu a dostupnosť úverov; </w:t>
      </w:r>
    </w:p>
    <w:p w14:paraId="03ABE48C" w14:textId="5C6E03A9" w:rsidR="00E77E09" w:rsidRDefault="00047A1A" w:rsidP="00411A0E">
      <w:pPr>
        <w:spacing w:line="276" w:lineRule="auto"/>
      </w:pPr>
      <w:r>
        <w:t>- zhrnúť práva dlžníkov a veriteľov, týkajúce sa zrážok zo mzdy a odňatia majetku v</w:t>
      </w:r>
      <w:r w:rsidR="00E77E09">
        <w:t> </w:t>
      </w:r>
      <w:r>
        <w:t>prípade</w:t>
      </w:r>
    </w:p>
    <w:p w14:paraId="3D0D184E" w14:textId="2DEE18CB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 nezaplatenia dlhu (exekúcia); </w:t>
      </w:r>
    </w:p>
    <w:p w14:paraId="3A6A4C97" w14:textId="77777777" w:rsidR="00047A1A" w:rsidRDefault="00047A1A" w:rsidP="00411A0E">
      <w:pPr>
        <w:spacing w:line="276" w:lineRule="auto"/>
      </w:pPr>
      <w:r>
        <w:t xml:space="preserve">- uviesť rozdiel medzi sporením a investovaním; </w:t>
      </w:r>
    </w:p>
    <w:p w14:paraId="1B09180C" w14:textId="77777777" w:rsidR="00047A1A" w:rsidRDefault="00047A1A" w:rsidP="00411A0E">
      <w:pPr>
        <w:spacing w:line="276" w:lineRule="auto"/>
      </w:pPr>
      <w:r>
        <w:t xml:space="preserve">- vysvetliť, prečo je sporenie základným predpokladom pre investovanie; </w:t>
      </w:r>
    </w:p>
    <w:p w14:paraId="231BD3B0" w14:textId="77777777" w:rsidR="00E77E09" w:rsidRDefault="00047A1A" w:rsidP="00411A0E">
      <w:pPr>
        <w:spacing w:line="276" w:lineRule="auto"/>
      </w:pPr>
      <w:r>
        <w:t xml:space="preserve">- porovnať hlavné črty úročených účtov vo finančných inštitúciách (bežné účty, sporiace účty, </w:t>
      </w:r>
    </w:p>
    <w:p w14:paraId="46EC3A02" w14:textId="4FB46FAD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termínované vklady); </w:t>
      </w:r>
    </w:p>
    <w:p w14:paraId="56F432F3" w14:textId="77777777" w:rsidR="00E77E09" w:rsidRDefault="00047A1A" w:rsidP="00411A0E">
      <w:pPr>
        <w:spacing w:line="276" w:lineRule="auto"/>
      </w:pPr>
      <w:r>
        <w:t xml:space="preserve">- porovnať riziká a výnosy z rôznych typov investícií (vrátane výnosov z podnikateľskej </w:t>
      </w:r>
    </w:p>
    <w:p w14:paraId="6F7A3AA9" w14:textId="2C7FDADC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činnosti a dôchodkového sporenia); </w:t>
      </w:r>
    </w:p>
    <w:p w14:paraId="3F2960BA" w14:textId="77777777" w:rsidR="00047A1A" w:rsidRDefault="00047A1A" w:rsidP="00411A0E">
      <w:pPr>
        <w:spacing w:line="276" w:lineRule="auto"/>
      </w:pPr>
      <w:r>
        <w:t xml:space="preserve">- popísať výber vhodného poistného produktu s ohľadom na vlastné potreby; </w:t>
      </w:r>
    </w:p>
    <w:p w14:paraId="317098D0" w14:textId="77777777" w:rsidR="00047A1A" w:rsidRDefault="00047A1A" w:rsidP="00411A0E">
      <w:pPr>
        <w:spacing w:line="276" w:lineRule="auto"/>
      </w:pPr>
      <w:r>
        <w:t xml:space="preserve">- diskutovať o vzťahu medzi rizikom a poistením; </w:t>
      </w:r>
    </w:p>
    <w:p w14:paraId="4051B6B9" w14:textId="77777777" w:rsidR="00E77E09" w:rsidRDefault="00047A1A" w:rsidP="00411A0E">
      <w:pPr>
        <w:spacing w:line="276" w:lineRule="auto"/>
      </w:pPr>
      <w:r>
        <w:t xml:space="preserve">- demonštrovať na konkrétnom príklade, aké druhy verejného poistenia je potrebné platiť pri </w:t>
      </w:r>
    </w:p>
    <w:p w14:paraId="47A323DA" w14:textId="256CDD62" w:rsidR="00047A1A" w:rsidRDefault="00E77E09" w:rsidP="00411A0E">
      <w:pPr>
        <w:spacing w:line="276" w:lineRule="auto"/>
      </w:pPr>
      <w:r>
        <w:t xml:space="preserve">  </w:t>
      </w:r>
      <w:r w:rsidR="00047A1A">
        <w:t>brigádnickej činnosti študentov</w:t>
      </w:r>
      <w:r>
        <w:t>.</w:t>
      </w:r>
    </w:p>
    <w:p w14:paraId="2D81BCF6" w14:textId="77777777" w:rsidR="00E77E09" w:rsidRDefault="00E77E09" w:rsidP="00411A0E">
      <w:pPr>
        <w:spacing w:line="276" w:lineRule="auto"/>
      </w:pPr>
    </w:p>
    <w:p w14:paraId="58A33630" w14:textId="6500E88A" w:rsidR="00047A1A" w:rsidRPr="009E1A0E" w:rsidRDefault="009E1A0E" w:rsidP="009E1A0E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Kompetencie NŠFG, verzia 1.2</w:t>
      </w:r>
    </w:p>
    <w:p w14:paraId="7A899696" w14:textId="77777777" w:rsidR="009E1A0E" w:rsidRDefault="009E1A0E" w:rsidP="009E1A0E">
      <w:pPr>
        <w:spacing w:line="276" w:lineRule="auto"/>
      </w:pPr>
      <w:r>
        <w:t xml:space="preserve">2 Plánovanie, príjem a práca </w:t>
      </w:r>
    </w:p>
    <w:p w14:paraId="22903147" w14:textId="77777777" w:rsidR="009E1A0E" w:rsidRPr="009E1A0E" w:rsidRDefault="009E1A0E" w:rsidP="009E1A0E">
      <w:pPr>
        <w:spacing w:line="276" w:lineRule="auto"/>
        <w:rPr>
          <w:b/>
          <w:bCs/>
        </w:rPr>
      </w:pPr>
      <w:r w:rsidRPr="009E1A0E">
        <w:rPr>
          <w:b/>
          <w:bCs/>
        </w:rPr>
        <w:t xml:space="preserve">Čiastková kompetencia 1 </w:t>
      </w:r>
    </w:p>
    <w:p w14:paraId="6FDD0B8B" w14:textId="3D4BDDFE" w:rsidR="009E1A0E" w:rsidRPr="009E1A0E" w:rsidRDefault="009E1A0E" w:rsidP="009E1A0E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9E1A0E">
        <w:rPr>
          <w:b/>
          <w:bCs/>
          <w:i/>
          <w:iCs/>
          <w:color w:val="2F5496" w:themeColor="accent1" w:themeShade="BF"/>
        </w:rPr>
        <w:t xml:space="preserve">Identifikovať zdroje osobných príjmov </w:t>
      </w:r>
    </w:p>
    <w:p w14:paraId="1644DE81" w14:textId="77777777" w:rsidR="009E1A0E" w:rsidRDefault="009E1A0E" w:rsidP="00047A1A">
      <w:pPr>
        <w:spacing w:line="276" w:lineRule="auto"/>
      </w:pPr>
      <w:r>
        <w:t xml:space="preserve">Úroveň 3 </w:t>
      </w:r>
    </w:p>
    <w:p w14:paraId="30EFE2B9" w14:textId="77777777" w:rsidR="009E1A0E" w:rsidRDefault="009E1A0E" w:rsidP="00047A1A">
      <w:pPr>
        <w:spacing w:line="276" w:lineRule="auto"/>
      </w:pPr>
      <w:r>
        <w:t>Rozlíšiť nominálnu mzdu, reálnu mzdu a cenu práce.</w:t>
      </w:r>
    </w:p>
    <w:p w14:paraId="63E31A25" w14:textId="7DD992F8" w:rsidR="009E1A0E" w:rsidRDefault="009E1A0E" w:rsidP="00047A1A">
      <w:pPr>
        <w:spacing w:line="276" w:lineRule="auto"/>
      </w:pPr>
      <w:r>
        <w:t>Uviesť príklady zdrojov príjmu iných než mzda (napr. dar, provízia a zisk, peňažný príjem domácnosti, štátne príspevky a sociálne dávky, príjem z podnikateľskej činnosti).</w:t>
      </w:r>
    </w:p>
    <w:p w14:paraId="2B6D9E00" w14:textId="77777777" w:rsidR="009E1A0E" w:rsidRDefault="009E1A0E" w:rsidP="00047A1A">
      <w:pPr>
        <w:spacing w:line="276" w:lineRule="auto"/>
      </w:pPr>
    </w:p>
    <w:p w14:paraId="12BA64B8" w14:textId="77777777" w:rsidR="009E1A0E" w:rsidRPr="009E1A0E" w:rsidRDefault="009E1A0E" w:rsidP="00047A1A">
      <w:pPr>
        <w:spacing w:line="276" w:lineRule="auto"/>
        <w:rPr>
          <w:b/>
          <w:bCs/>
        </w:rPr>
      </w:pPr>
      <w:r w:rsidRPr="009E1A0E">
        <w:rPr>
          <w:b/>
          <w:bCs/>
        </w:rPr>
        <w:t>Čiastková kompetencia 2</w:t>
      </w:r>
    </w:p>
    <w:p w14:paraId="0D6A7A1E" w14:textId="77777777" w:rsidR="009E1A0E" w:rsidRDefault="009E1A0E" w:rsidP="00047A1A">
      <w:pPr>
        <w:spacing w:line="276" w:lineRule="auto"/>
      </w:pPr>
      <w:r w:rsidRPr="009E1A0E">
        <w:rPr>
          <w:b/>
          <w:bCs/>
          <w:i/>
          <w:iCs/>
          <w:color w:val="2F5496" w:themeColor="accent1" w:themeShade="BF"/>
        </w:rPr>
        <w:t>Vypracovať finančný plán</w:t>
      </w:r>
      <w:r>
        <w:t xml:space="preserve"> </w:t>
      </w:r>
    </w:p>
    <w:p w14:paraId="6F6F4AE7" w14:textId="77777777" w:rsidR="009E1A0E" w:rsidRDefault="009E1A0E" w:rsidP="00047A1A">
      <w:pPr>
        <w:spacing w:line="276" w:lineRule="auto"/>
      </w:pPr>
      <w:r>
        <w:t xml:space="preserve">Úroveň 3 </w:t>
      </w:r>
    </w:p>
    <w:p w14:paraId="6898F0AB" w14:textId="77777777" w:rsidR="009E1A0E" w:rsidRDefault="009E1A0E" w:rsidP="00047A1A">
      <w:pPr>
        <w:spacing w:line="276" w:lineRule="auto"/>
      </w:pPr>
      <w:r>
        <w:t xml:space="preserve">Opísať spôsoby krytia deficitu (úvery, splátkový predaj, leasing). </w:t>
      </w:r>
    </w:p>
    <w:p w14:paraId="497F9BDB" w14:textId="72FD5FB7" w:rsidR="009E1A0E" w:rsidRDefault="009E1A0E" w:rsidP="00047A1A">
      <w:pPr>
        <w:spacing w:line="276" w:lineRule="auto"/>
      </w:pPr>
      <w:r>
        <w:t xml:space="preserve">Zostaviť finančný plán podniku – právnickej osoby. </w:t>
      </w:r>
    </w:p>
    <w:p w14:paraId="51225352" w14:textId="77777777" w:rsidR="009E1A0E" w:rsidRDefault="009E1A0E" w:rsidP="00047A1A">
      <w:pPr>
        <w:spacing w:line="276" w:lineRule="auto"/>
      </w:pPr>
      <w:r>
        <w:t xml:space="preserve">Vysvetliť možnosti, ako splácať dlhy. </w:t>
      </w:r>
    </w:p>
    <w:p w14:paraId="66A708E3" w14:textId="3F8AF694" w:rsidR="009E1A0E" w:rsidRDefault="009E1A0E" w:rsidP="00047A1A">
      <w:pPr>
        <w:spacing w:line="276" w:lineRule="auto"/>
      </w:pPr>
      <w:r>
        <w:t>Navrhnúť spôsoby riešenia schodkového a prebytkového rozpočtu.</w:t>
      </w:r>
    </w:p>
    <w:p w14:paraId="2640B5C4" w14:textId="77777777" w:rsidR="007C34B1" w:rsidRDefault="007C34B1" w:rsidP="00047A1A">
      <w:pPr>
        <w:spacing w:line="276" w:lineRule="auto"/>
      </w:pPr>
    </w:p>
    <w:p w14:paraId="3D2134E7" w14:textId="77777777" w:rsidR="007C34B1" w:rsidRDefault="007C34B1" w:rsidP="00047A1A">
      <w:pPr>
        <w:spacing w:line="276" w:lineRule="auto"/>
      </w:pPr>
      <w:r w:rsidRPr="007C34B1">
        <w:rPr>
          <w:b/>
          <w:bCs/>
        </w:rPr>
        <w:lastRenderedPageBreak/>
        <w:t>Čiastková kompetencia 4</w:t>
      </w:r>
      <w:r>
        <w:t xml:space="preserve"> </w:t>
      </w:r>
    </w:p>
    <w:p w14:paraId="3FBF96F4" w14:textId="77777777" w:rsidR="007C34B1" w:rsidRDefault="007C34B1" w:rsidP="00047A1A">
      <w:pPr>
        <w:spacing w:line="276" w:lineRule="auto"/>
      </w:pPr>
      <w:r w:rsidRPr="007C34B1">
        <w:rPr>
          <w:b/>
          <w:bCs/>
          <w:i/>
          <w:iCs/>
          <w:color w:val="2F5496" w:themeColor="accent1" w:themeShade="BF"/>
        </w:rPr>
        <w:t>Zhrnúť právne formy podnikania a základné predpisy pre oblasť podnikania</w:t>
      </w:r>
      <w:r>
        <w:t xml:space="preserve"> </w:t>
      </w:r>
    </w:p>
    <w:p w14:paraId="6EA8084F" w14:textId="77777777" w:rsidR="007C34B1" w:rsidRDefault="007C34B1" w:rsidP="00047A1A">
      <w:pPr>
        <w:spacing w:line="276" w:lineRule="auto"/>
      </w:pPr>
      <w:r>
        <w:t xml:space="preserve">Úroveň 3 </w:t>
      </w:r>
    </w:p>
    <w:p w14:paraId="16085828" w14:textId="09582894" w:rsidR="007C34B1" w:rsidRDefault="007C34B1" w:rsidP="007C34B1">
      <w:pPr>
        <w:spacing w:line="276" w:lineRule="auto"/>
      </w:pPr>
      <w:r>
        <w:t xml:space="preserve">Opísať prejavy a dôsledky negatívnych javov, ako je korupcia, zneužívanie finančných prostriedkov EÚ, rodinkárstvo, nekalé marketingové aktivity a nelegálne podnikateľské aktivity, konštruktívne diskutovať o tom, ako sa k nim osobne postaviť a ako s nimi bojovať. </w:t>
      </w:r>
    </w:p>
    <w:p w14:paraId="146B6D1F" w14:textId="77777777" w:rsidR="007C34B1" w:rsidRDefault="007C34B1" w:rsidP="00047A1A">
      <w:pPr>
        <w:spacing w:line="276" w:lineRule="auto"/>
      </w:pPr>
    </w:p>
    <w:p w14:paraId="22BE7AFB" w14:textId="77777777" w:rsidR="007C34B1" w:rsidRDefault="007C34B1" w:rsidP="00047A1A">
      <w:pPr>
        <w:spacing w:line="276" w:lineRule="auto"/>
      </w:pPr>
      <w:r>
        <w:t xml:space="preserve">4 Úver a dlh </w:t>
      </w:r>
    </w:p>
    <w:p w14:paraId="70BBCF0E" w14:textId="77777777" w:rsidR="007C34B1" w:rsidRDefault="007C34B1" w:rsidP="00047A1A">
      <w:pPr>
        <w:spacing w:line="276" w:lineRule="auto"/>
      </w:pPr>
      <w:r w:rsidRPr="007C34B1">
        <w:rPr>
          <w:b/>
          <w:bCs/>
        </w:rPr>
        <w:t>Čiastková kompetencia 1</w:t>
      </w:r>
      <w:r>
        <w:t xml:space="preserve"> </w:t>
      </w:r>
    </w:p>
    <w:p w14:paraId="397645B9" w14:textId="77777777" w:rsidR="00090285" w:rsidRDefault="007C34B1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Identifikovať riziká, prínosy a náklady jednotlivých typov úverov</w:t>
      </w:r>
      <w:r>
        <w:t xml:space="preserve"> </w:t>
      </w:r>
    </w:p>
    <w:p w14:paraId="79AB9076" w14:textId="77777777" w:rsidR="00090285" w:rsidRDefault="007C34B1" w:rsidP="00047A1A">
      <w:pPr>
        <w:spacing w:line="276" w:lineRule="auto"/>
      </w:pPr>
      <w:r>
        <w:t xml:space="preserve">Úroveň 3 </w:t>
      </w:r>
    </w:p>
    <w:p w14:paraId="25D114AA" w14:textId="77777777" w:rsidR="00090285" w:rsidRDefault="007C34B1" w:rsidP="00047A1A">
      <w:pPr>
        <w:spacing w:line="276" w:lineRule="auto"/>
      </w:pPr>
      <w:r>
        <w:t xml:space="preserve">Vysvetliť algoritmus zloženého úročenia. </w:t>
      </w:r>
    </w:p>
    <w:p w14:paraId="1F96CE0B" w14:textId="77777777" w:rsidR="00090285" w:rsidRDefault="007C34B1" w:rsidP="00047A1A">
      <w:pPr>
        <w:spacing w:line="276" w:lineRule="auto"/>
      </w:pPr>
      <w:r>
        <w:t xml:space="preserve">Charakterizovať ročnú percentuálnu mieru nákladov (RPMN), úrokovú mieru, fixáciu, predčasné splatenie úveru. </w:t>
      </w:r>
    </w:p>
    <w:p w14:paraId="31516F10" w14:textId="61128C22" w:rsidR="007C34B1" w:rsidRDefault="007C34B1" w:rsidP="00047A1A">
      <w:pPr>
        <w:spacing w:line="276" w:lineRule="auto"/>
      </w:pPr>
      <w:r>
        <w:t>Navrhnúť výber najvhodnejšieho finančného produktu vzhľadom na svoje potreby.</w:t>
      </w:r>
    </w:p>
    <w:p w14:paraId="6878CA90" w14:textId="77777777" w:rsidR="00090285" w:rsidRDefault="00090285" w:rsidP="00047A1A">
      <w:pPr>
        <w:spacing w:line="276" w:lineRule="auto"/>
      </w:pPr>
    </w:p>
    <w:p w14:paraId="55B5C86D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2</w:t>
      </w:r>
      <w:r>
        <w:t xml:space="preserve"> </w:t>
      </w:r>
    </w:p>
    <w:p w14:paraId="32B7D546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 xml:space="preserve">Mať základné informácie o jednotlivých druhoch úverov poskytovaných spotrebiteľom </w:t>
      </w:r>
      <w:r>
        <w:t>:  Úroveň 3</w:t>
      </w:r>
    </w:p>
    <w:p w14:paraId="20F2B31A" w14:textId="77777777" w:rsidR="00090285" w:rsidRDefault="00090285" w:rsidP="00047A1A">
      <w:pPr>
        <w:spacing w:line="276" w:lineRule="auto"/>
      </w:pPr>
      <w:r>
        <w:t xml:space="preserve">Identifikovať rôzne druhy úverov a ich zabezpečenie (vrátane úverov na bývanie resp. hypotekárnych úverov). </w:t>
      </w:r>
    </w:p>
    <w:p w14:paraId="00C98CD7" w14:textId="5BE2A577" w:rsidR="00090285" w:rsidRDefault="00090285" w:rsidP="00047A1A">
      <w:pPr>
        <w:spacing w:line="276" w:lineRule="auto"/>
      </w:pPr>
      <w:r>
        <w:t>Uviesť rozdiel pri poskytovaní úveru pre bežného občana a pre podnikateľa.</w:t>
      </w:r>
    </w:p>
    <w:p w14:paraId="23B450B3" w14:textId="77777777" w:rsidR="009E1A0E" w:rsidRDefault="009E1A0E" w:rsidP="00047A1A">
      <w:pPr>
        <w:spacing w:line="276" w:lineRule="auto"/>
      </w:pPr>
    </w:p>
    <w:p w14:paraId="59B1E04E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3</w:t>
      </w:r>
      <w:r>
        <w:t xml:space="preserve"> </w:t>
      </w:r>
    </w:p>
    <w:p w14:paraId="7708F95A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Zhodnotiť možnosti, ako sa vyhnúť problémom so zadlžením (predĺžením) alebo ako ich zvládnuť</w:t>
      </w:r>
      <w:r>
        <w:t xml:space="preserve"> </w:t>
      </w:r>
    </w:p>
    <w:p w14:paraId="78685075" w14:textId="77777777" w:rsidR="00090285" w:rsidRDefault="00090285" w:rsidP="00047A1A">
      <w:pPr>
        <w:spacing w:line="276" w:lineRule="auto"/>
      </w:pPr>
      <w:r>
        <w:t xml:space="preserve">Úroveň 3 </w:t>
      </w:r>
    </w:p>
    <w:p w14:paraId="38835628" w14:textId="77777777" w:rsidR="00090285" w:rsidRDefault="00090285" w:rsidP="00047A1A">
      <w:pPr>
        <w:spacing w:line="276" w:lineRule="auto"/>
      </w:pPr>
      <w:r>
        <w:t xml:space="preserve">Vysvetliť spôsoby vyrovnania opätovného zadlženia. </w:t>
      </w:r>
    </w:p>
    <w:p w14:paraId="3B77F981" w14:textId="77777777" w:rsidR="00090285" w:rsidRDefault="00090285" w:rsidP="00047A1A">
      <w:pPr>
        <w:spacing w:line="276" w:lineRule="auto"/>
      </w:pPr>
      <w:r>
        <w:t xml:space="preserve">Posúdiť účel vyhlásenia (osobného) bankrotu a jeho možné dôsledky na majetok, zamestnanosť, cenu a dostupnosť úverov. </w:t>
      </w:r>
    </w:p>
    <w:p w14:paraId="05CC953D" w14:textId="218D0EA8" w:rsidR="00090285" w:rsidRDefault="00090285" w:rsidP="00047A1A">
      <w:pPr>
        <w:spacing w:line="276" w:lineRule="auto"/>
      </w:pPr>
      <w:r>
        <w:t>Zhrnúť práva dlžníkov a veriteľov, týkajúce sa zrážok zo mzdy a odňatia majetku v prípade nezaplatenia dlhu (exekúcia).</w:t>
      </w:r>
    </w:p>
    <w:p w14:paraId="48019E92" w14:textId="77777777" w:rsidR="00090285" w:rsidRDefault="00090285" w:rsidP="00047A1A">
      <w:pPr>
        <w:spacing w:line="276" w:lineRule="auto"/>
      </w:pPr>
    </w:p>
    <w:p w14:paraId="12B0ED8A" w14:textId="77777777" w:rsidR="00090285" w:rsidRDefault="00090285" w:rsidP="00047A1A">
      <w:pPr>
        <w:spacing w:line="276" w:lineRule="auto"/>
      </w:pPr>
      <w:r>
        <w:t xml:space="preserve">5 Sporenie a investovanie </w:t>
      </w:r>
    </w:p>
    <w:p w14:paraId="1474BD49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1</w:t>
      </w:r>
      <w:r>
        <w:t xml:space="preserve"> </w:t>
      </w:r>
    </w:p>
    <w:p w14:paraId="79402013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Vysvetliť, ako sporenie prispieva k finančnej prosperite</w:t>
      </w:r>
      <w:r>
        <w:t xml:space="preserve"> </w:t>
      </w:r>
    </w:p>
    <w:p w14:paraId="1FF4C26D" w14:textId="77777777" w:rsidR="00090285" w:rsidRDefault="00090285" w:rsidP="00047A1A">
      <w:pPr>
        <w:spacing w:line="276" w:lineRule="auto"/>
      </w:pPr>
      <w:r>
        <w:t xml:space="preserve">Úroveň 3 </w:t>
      </w:r>
    </w:p>
    <w:p w14:paraId="4ECAE561" w14:textId="77777777" w:rsidR="00090285" w:rsidRDefault="00090285" w:rsidP="00047A1A">
      <w:pPr>
        <w:spacing w:line="276" w:lineRule="auto"/>
      </w:pPr>
      <w:r>
        <w:t xml:space="preserve">Uviesť rozdiel medzi sporením a investovaním. </w:t>
      </w:r>
    </w:p>
    <w:p w14:paraId="3BD48397" w14:textId="0BD39369" w:rsidR="00090285" w:rsidRDefault="00090285" w:rsidP="00047A1A">
      <w:pPr>
        <w:spacing w:line="276" w:lineRule="auto"/>
      </w:pPr>
      <w:r>
        <w:t>Vysvetliť, prečo je sporenie základným predpokladom pre investovanie.</w:t>
      </w:r>
    </w:p>
    <w:p w14:paraId="0B5AEF2E" w14:textId="77777777" w:rsidR="00090285" w:rsidRDefault="00090285" w:rsidP="00047A1A">
      <w:pPr>
        <w:spacing w:line="276" w:lineRule="auto"/>
      </w:pPr>
    </w:p>
    <w:p w14:paraId="587BC73C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2</w:t>
      </w:r>
      <w:r>
        <w:t xml:space="preserve"> </w:t>
      </w:r>
    </w:p>
    <w:p w14:paraId="71E1B948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Zhodnotiť investičné alternatívy</w:t>
      </w:r>
      <w:r>
        <w:t xml:space="preserve"> </w:t>
      </w:r>
    </w:p>
    <w:p w14:paraId="262C1EFB" w14:textId="77777777" w:rsidR="00090285" w:rsidRDefault="00090285" w:rsidP="00047A1A">
      <w:pPr>
        <w:spacing w:line="276" w:lineRule="auto"/>
      </w:pPr>
      <w:r>
        <w:t xml:space="preserve">Úroveň 3 </w:t>
      </w:r>
    </w:p>
    <w:p w14:paraId="61E5B9C1" w14:textId="77777777" w:rsidR="00090285" w:rsidRDefault="00090285" w:rsidP="00047A1A">
      <w:pPr>
        <w:spacing w:line="276" w:lineRule="auto"/>
      </w:pPr>
      <w:r>
        <w:lastRenderedPageBreak/>
        <w:t xml:space="preserve">Porovnať hlavné črty úročených účtov vo finančných inštitúciách (bežné účty, sporiace účty, termínované vklady). </w:t>
      </w:r>
    </w:p>
    <w:p w14:paraId="356D3B33" w14:textId="05AD3C0F" w:rsidR="00090285" w:rsidRDefault="00090285" w:rsidP="00047A1A">
      <w:pPr>
        <w:spacing w:line="276" w:lineRule="auto"/>
      </w:pPr>
      <w:r>
        <w:t>Porovnať riziká a výnosy z rôznych typov investícií (vrátane výnosov z podnikateľskej činnosti a dôchodkového sporenia).</w:t>
      </w:r>
    </w:p>
    <w:p w14:paraId="2C04E380" w14:textId="77777777" w:rsidR="00090285" w:rsidRDefault="00090285" w:rsidP="00047A1A">
      <w:pPr>
        <w:spacing w:line="276" w:lineRule="auto"/>
      </w:pPr>
    </w:p>
    <w:p w14:paraId="27D4B529" w14:textId="77777777" w:rsidR="00090285" w:rsidRDefault="00090285" w:rsidP="00047A1A">
      <w:pPr>
        <w:spacing w:line="276" w:lineRule="auto"/>
      </w:pPr>
      <w:r>
        <w:t xml:space="preserve">6 Riadenie rizika a poistenie </w:t>
      </w:r>
    </w:p>
    <w:p w14:paraId="21BCA273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1</w:t>
      </w:r>
      <w:r>
        <w:t xml:space="preserve"> </w:t>
      </w:r>
    </w:p>
    <w:p w14:paraId="7AD33D78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Vysvetliť pojem riziko a pojem poistenie</w:t>
      </w:r>
      <w:r>
        <w:t xml:space="preserve"> </w:t>
      </w:r>
    </w:p>
    <w:p w14:paraId="34DD64CB" w14:textId="77777777" w:rsidR="00090285" w:rsidRDefault="00090285" w:rsidP="00047A1A">
      <w:pPr>
        <w:spacing w:line="276" w:lineRule="auto"/>
      </w:pPr>
      <w:r>
        <w:t>Úroveň 3</w:t>
      </w:r>
    </w:p>
    <w:p w14:paraId="0FE3DAAE" w14:textId="77777777" w:rsidR="00090285" w:rsidRDefault="00090285" w:rsidP="00047A1A">
      <w:pPr>
        <w:spacing w:line="276" w:lineRule="auto"/>
      </w:pPr>
      <w:r>
        <w:t xml:space="preserve">Popísať výber vhodného poistného produktu s ohľadom na vlastné potreby. </w:t>
      </w:r>
    </w:p>
    <w:p w14:paraId="3F7C7CBA" w14:textId="763CA71C" w:rsidR="00090285" w:rsidRDefault="00090285" w:rsidP="00047A1A">
      <w:pPr>
        <w:spacing w:line="276" w:lineRule="auto"/>
      </w:pPr>
      <w:r>
        <w:t>Diskutovať o vzťahu medzi rizikom a poistením.</w:t>
      </w:r>
    </w:p>
    <w:p w14:paraId="12E9390F" w14:textId="77777777" w:rsidR="00090285" w:rsidRDefault="00090285" w:rsidP="00047A1A">
      <w:pPr>
        <w:spacing w:line="276" w:lineRule="auto"/>
      </w:pPr>
    </w:p>
    <w:p w14:paraId="79978D0F" w14:textId="77777777" w:rsidR="00696964" w:rsidRDefault="00696964" w:rsidP="00047A1A">
      <w:pPr>
        <w:spacing w:line="276" w:lineRule="auto"/>
      </w:pPr>
      <w:r w:rsidRPr="00696964">
        <w:rPr>
          <w:b/>
          <w:bCs/>
        </w:rPr>
        <w:t>Čiastková kompetencia 2</w:t>
      </w:r>
      <w:r>
        <w:t xml:space="preserve"> </w:t>
      </w:r>
    </w:p>
    <w:p w14:paraId="56A4C659" w14:textId="77777777" w:rsidR="00696964" w:rsidRDefault="00696964" w:rsidP="00047A1A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696964">
        <w:rPr>
          <w:b/>
          <w:bCs/>
          <w:i/>
          <w:iCs/>
          <w:color w:val="2F5496" w:themeColor="accent1" w:themeShade="BF"/>
        </w:rPr>
        <w:t xml:space="preserve">Charakterizovať verejné poistenie a vysvetliť rozdiel medzi verejným a komerčným poistením </w:t>
      </w:r>
    </w:p>
    <w:p w14:paraId="4D247A3A" w14:textId="77777777" w:rsidR="00696964" w:rsidRDefault="00696964" w:rsidP="00047A1A">
      <w:pPr>
        <w:spacing w:line="276" w:lineRule="auto"/>
      </w:pPr>
      <w:r>
        <w:t xml:space="preserve">Úroveň 3 </w:t>
      </w:r>
    </w:p>
    <w:p w14:paraId="2B6B1A5A" w14:textId="77777777" w:rsidR="00696964" w:rsidRDefault="00696964" w:rsidP="00047A1A">
      <w:pPr>
        <w:spacing w:line="276" w:lineRule="auto"/>
      </w:pPr>
      <w:r>
        <w:t xml:space="preserve">Demonštrovať na konkrétnom príklade, aké druhy verejného poistenia je potrebné platiť pri brigádnickej činnosti študentov. </w:t>
      </w:r>
    </w:p>
    <w:p w14:paraId="68396A0C" w14:textId="77777777" w:rsidR="00696964" w:rsidRDefault="00696964" w:rsidP="00047A1A">
      <w:pPr>
        <w:spacing w:line="276" w:lineRule="auto"/>
      </w:pPr>
      <w:r>
        <w:t xml:space="preserve">Charakterizovať dôchodkové poistenie – 1. pilier, 2. pilier a 3. pilier. </w:t>
      </w:r>
    </w:p>
    <w:p w14:paraId="381BB0FE" w14:textId="46DEB102" w:rsidR="00090285" w:rsidRDefault="00696964" w:rsidP="00047A1A">
      <w:pPr>
        <w:spacing w:line="276" w:lineRule="auto"/>
      </w:pPr>
      <w:r>
        <w:t>Vedieť rozlíšiť verejné a komerčné poistenie.</w:t>
      </w:r>
    </w:p>
    <w:p w14:paraId="6E82CE9B" w14:textId="77777777" w:rsidR="00696964" w:rsidRDefault="00696964" w:rsidP="00047A1A">
      <w:pPr>
        <w:spacing w:line="276" w:lineRule="auto"/>
      </w:pPr>
    </w:p>
    <w:p w14:paraId="32542B59" w14:textId="77777777" w:rsidR="00696964" w:rsidRDefault="00696964" w:rsidP="00047A1A">
      <w:pPr>
        <w:spacing w:line="276" w:lineRule="auto"/>
      </w:pPr>
      <w:r w:rsidRPr="00696964">
        <w:rPr>
          <w:b/>
          <w:bCs/>
        </w:rPr>
        <w:t>Čiastková kompetencia 3</w:t>
      </w:r>
      <w:r>
        <w:t xml:space="preserve"> </w:t>
      </w:r>
    </w:p>
    <w:p w14:paraId="0557742D" w14:textId="77777777" w:rsidR="00696964" w:rsidRDefault="00696964" w:rsidP="00047A1A">
      <w:pPr>
        <w:spacing w:line="276" w:lineRule="auto"/>
      </w:pPr>
      <w:r w:rsidRPr="00696964">
        <w:rPr>
          <w:b/>
          <w:bCs/>
          <w:i/>
          <w:iCs/>
          <w:color w:val="2F5496" w:themeColor="accent1" w:themeShade="BF"/>
        </w:rPr>
        <w:t>Charakterizovať komerčné poistenie</w:t>
      </w:r>
      <w:r>
        <w:t xml:space="preserve"> </w:t>
      </w:r>
    </w:p>
    <w:p w14:paraId="3505349C" w14:textId="77777777" w:rsidR="00696964" w:rsidRDefault="00696964" w:rsidP="00047A1A">
      <w:pPr>
        <w:spacing w:line="276" w:lineRule="auto"/>
      </w:pPr>
      <w:r>
        <w:t xml:space="preserve">Úroveň 3 </w:t>
      </w:r>
    </w:p>
    <w:p w14:paraId="1A5CD06A" w14:textId="77777777" w:rsidR="00696964" w:rsidRDefault="00696964" w:rsidP="00047A1A">
      <w:pPr>
        <w:spacing w:line="276" w:lineRule="auto"/>
      </w:pPr>
      <w:r>
        <w:t xml:space="preserve">Uviesť druhy poistenia, ktoré sa môžu vzťahovať na náhodné poškodenie majetku alebo zdravia inej osoby. </w:t>
      </w:r>
    </w:p>
    <w:p w14:paraId="1C6117DE" w14:textId="77777777" w:rsidR="00696964" w:rsidRDefault="00696964" w:rsidP="00047A1A">
      <w:pPr>
        <w:spacing w:line="276" w:lineRule="auto"/>
      </w:pPr>
      <w:r>
        <w:t xml:space="preserve">Vysvetliť rozdiel medzi poistením vlastného majetku a poistením zodpovednosti súvisiacej s vlastníctvom tohto majetku. </w:t>
      </w:r>
    </w:p>
    <w:p w14:paraId="55F38231" w14:textId="1EFD7338" w:rsidR="00696964" w:rsidRPr="00090285" w:rsidRDefault="00696964" w:rsidP="00E77E09">
      <w:pPr>
        <w:spacing w:line="276" w:lineRule="auto"/>
        <w:rPr>
          <w:b/>
          <w:bCs/>
        </w:rPr>
      </w:pPr>
      <w:r>
        <w:t>Vysvetliť podstatu a význam životného poistenia.</w:t>
      </w:r>
    </w:p>
    <w:p w14:paraId="1FA4099C" w14:textId="0AA7DD4D" w:rsidR="00AE6D81" w:rsidRPr="00B93249" w:rsidRDefault="00E031EF" w:rsidP="00E031EF">
      <w:pPr>
        <w:pStyle w:val="Nadpis1"/>
        <w:keepLines w:val="0"/>
        <w:numPr>
          <w:ilvl w:val="0"/>
          <w:numId w:val="20"/>
        </w:numPr>
        <w:spacing w:after="60"/>
        <w:rPr>
          <w:b w:val="0"/>
        </w:rPr>
      </w:pPr>
      <w:r>
        <w:t>V</w:t>
      </w:r>
      <w:r w:rsidR="00AE6D81" w:rsidRPr="00AE6D81">
        <w:t>ýchovn</w:t>
      </w:r>
      <w:r>
        <w:t>é</w:t>
      </w:r>
      <w:r w:rsidR="00AE6D81" w:rsidRPr="00AE6D81">
        <w:t xml:space="preserve"> a vzdelávac</w:t>
      </w:r>
      <w:r>
        <w:t>ie</w:t>
      </w:r>
      <w:r w:rsidR="00AE6D81" w:rsidRPr="00AE6D81">
        <w:t xml:space="preserve"> stratégi</w:t>
      </w:r>
      <w:r>
        <w:t>e</w:t>
      </w:r>
    </w:p>
    <w:p w14:paraId="365DDBF4" w14:textId="77777777" w:rsidR="00BF784A" w:rsidRDefault="00BF784A" w:rsidP="00BF784A">
      <w:pPr>
        <w:pStyle w:val="Nadpis2"/>
        <w:rPr>
          <w:i/>
          <w:iCs/>
        </w:rPr>
      </w:pPr>
    </w:p>
    <w:p w14:paraId="373C71DA" w14:textId="14F0095C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učenie</w:t>
      </w:r>
    </w:p>
    <w:p w14:paraId="24E87989" w14:textId="513EA74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vyhľadávať, triediť a prepájať informácie (internetové zdroje)</w:t>
      </w:r>
    </w:p>
    <w:p w14:paraId="058B3F3C" w14:textId="61B494E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podnecujeme ich k samostatnému uvažovaniu a hodnoteniu</w:t>
      </w:r>
    </w:p>
    <w:p w14:paraId="4A0598B1" w14:textId="57A3D56A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</w:t>
      </w:r>
      <w:r w:rsidR="00021E79">
        <w:rPr>
          <w:sz w:val="24"/>
          <w:szCs w:val="24"/>
        </w:rPr>
        <w:t>e</w:t>
      </w:r>
      <w:r w:rsidRPr="00BF784A">
        <w:rPr>
          <w:sz w:val="24"/>
          <w:szCs w:val="24"/>
        </w:rPr>
        <w:t>me žiakov k sebavzdelávaniu</w:t>
      </w:r>
    </w:p>
    <w:p w14:paraId="53BFAB78" w14:textId="13FF319C" w:rsidR="00BF784A" w:rsidRPr="00BF784A" w:rsidRDefault="00BF784A" w:rsidP="00021E79">
      <w:pPr>
        <w:pStyle w:val="Odsekzoznamu"/>
        <w:numPr>
          <w:ilvl w:val="0"/>
          <w:numId w:val="13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sú vedení k uvedomeniu si svojich schopností argumentovať</w:t>
      </w:r>
    </w:p>
    <w:p w14:paraId="7B220D61" w14:textId="1353192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riešenie problémov</w:t>
      </w:r>
    </w:p>
    <w:p w14:paraId="64684CEE" w14:textId="4350C3F7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zaraďujeme metódy, prostredníctvom ktorých žiaci sami dochádzajú k záverom a riešeniam</w:t>
      </w:r>
    </w:p>
    <w:p w14:paraId="105C28B2" w14:textId="58EFC7E9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obhajujú svoje názory a závery</w:t>
      </w:r>
    </w:p>
    <w:p w14:paraId="3A91ED29" w14:textId="6755277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približujeme žiakom bežný život a jeho problémy</w:t>
      </w:r>
    </w:p>
    <w:p w14:paraId="0B441617" w14:textId="37ABAC9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zdokonaľuje svoju schopnosť vnímať problém v širších súvislostiach</w:t>
      </w:r>
    </w:p>
    <w:p w14:paraId="4E101BD0" w14:textId="731D0F3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lastRenderedPageBreak/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komunikatívn</w:t>
      </w:r>
      <w:r>
        <w:rPr>
          <w:i/>
          <w:iCs/>
        </w:rPr>
        <w:t>e</w:t>
      </w:r>
    </w:p>
    <w:p w14:paraId="5B07E1E3" w14:textId="3D43D2A7" w:rsidR="00BF784A" w:rsidRPr="00BF784A" w:rsidRDefault="00021E79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F784A" w:rsidRPr="00BF784A">
        <w:rPr>
          <w:sz w:val="24"/>
          <w:szCs w:val="24"/>
        </w:rPr>
        <w:t>edieme žiakov k využívaniu rôznych informačných a komunikačných prostriedkov</w:t>
      </w:r>
    </w:p>
    <w:p w14:paraId="5871ADCF" w14:textId="03801BE3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ponúkame dostatok príležitostí na vyjadrenie vlastného názoru</w:t>
      </w:r>
    </w:p>
    <w:p w14:paraId="1C25D111" w14:textId="5FFD7E12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obhajovať vlastný názor, argumentovať, počúvať iných</w:t>
      </w:r>
    </w:p>
    <w:p w14:paraId="71D23E1B" w14:textId="462992C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ich vyjadrovať sa výstižne, v logickom slede</w:t>
      </w:r>
    </w:p>
    <w:p w14:paraId="29A59635" w14:textId="0DE746B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priestor pre diskusiu a</w:t>
      </w:r>
      <w:r w:rsidR="00021E79">
        <w:rPr>
          <w:sz w:val="24"/>
          <w:szCs w:val="24"/>
        </w:rPr>
        <w:t xml:space="preserve"> </w:t>
      </w:r>
      <w:r w:rsidRPr="00BF784A">
        <w:rPr>
          <w:sz w:val="24"/>
          <w:szCs w:val="24"/>
        </w:rPr>
        <w:t>modelové situácie</w:t>
      </w:r>
    </w:p>
    <w:p w14:paraId="50804798" w14:textId="7A8A5F07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sociálne a personálne</w:t>
      </w:r>
    </w:p>
    <w:p w14:paraId="23EC62E8" w14:textId="39633C85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navodzujeme situácie, ktoré žiakom umožnia účinne spolupracovať v skupinách, skúšať si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v nich rôzne rol</w:t>
      </w:r>
      <w:r w:rsidR="00021E79" w:rsidRPr="00021E79">
        <w:rPr>
          <w:sz w:val="24"/>
          <w:szCs w:val="24"/>
        </w:rPr>
        <w:t>y</w:t>
      </w:r>
    </w:p>
    <w:p w14:paraId="3E9B2504" w14:textId="3AD38E11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prispôsobuje meniacim sa životným a pracovným podmienkam a podľa svojich</w:t>
      </w:r>
    </w:p>
    <w:p w14:paraId="60E7CFE9" w14:textId="0E1D3E48" w:rsidR="00BF784A" w:rsidRPr="00021E79" w:rsidRDefault="00021E79" w:rsidP="00021E79">
      <w:pPr>
        <w:spacing w:line="276" w:lineRule="auto"/>
        <w:ind w:left="360"/>
        <w:jc w:val="both"/>
      </w:pPr>
      <w:r>
        <w:t xml:space="preserve">      </w:t>
      </w:r>
      <w:r w:rsidR="00BF784A" w:rsidRPr="00021E79">
        <w:t>schopností a možností ich aktívne ovplyvňuje</w:t>
      </w:r>
    </w:p>
    <w:p w14:paraId="38200618" w14:textId="2F38328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rozhoduje na základe vlastného úsudku, odoláva spoločenským aj mediálnym tlakom</w:t>
      </w:r>
    </w:p>
    <w:p w14:paraId="3F96A880" w14:textId="63A0BB38" w:rsidR="00BF784A" w:rsidRPr="00BF784A" w:rsidRDefault="00BF784A" w:rsidP="00E77E0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aktívne spolupracuje pri stanovovaní a dosahovaní spoločných cieľov</w:t>
      </w:r>
    </w:p>
    <w:p w14:paraId="11CB11EA" w14:textId="2C2B5C3F" w:rsidR="00BF784A" w:rsidRDefault="00021E79" w:rsidP="00BF784A">
      <w:pPr>
        <w:pStyle w:val="Nadpis2"/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občiansk</w:t>
      </w:r>
      <w:r>
        <w:rPr>
          <w:i/>
          <w:iCs/>
        </w:rPr>
        <w:t>e</w:t>
      </w:r>
    </w:p>
    <w:p w14:paraId="29044BE3" w14:textId="2618CB6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modelové situácie, v ktorých si žiaci osvojujú hranie rôznych rolí, s ktorými sa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môžu v budúcom živote stretnúť</w:t>
      </w:r>
    </w:p>
    <w:p w14:paraId="24E0198F" w14:textId="6B98AEE6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príležitosti, aby si žiaci mohli osvojiť praktické skúsenosti v medziľudských</w:t>
      </w:r>
    </w:p>
    <w:p w14:paraId="44415179" w14:textId="09BF7BF4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vzťahoch</w:t>
      </w:r>
    </w:p>
    <w:p w14:paraId="18DF7696" w14:textId="09C4C32B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k sledovaniu aktuáln</w:t>
      </w:r>
      <w:r w:rsidR="00021E79">
        <w:rPr>
          <w:sz w:val="24"/>
          <w:szCs w:val="24"/>
        </w:rPr>
        <w:t>ej</w:t>
      </w:r>
      <w:r w:rsidRPr="00BF784A">
        <w:rPr>
          <w:sz w:val="24"/>
          <w:szCs w:val="24"/>
        </w:rPr>
        <w:t xml:space="preserve"> situáci</w:t>
      </w:r>
      <w:r w:rsidR="00021E79">
        <w:rPr>
          <w:sz w:val="24"/>
          <w:szCs w:val="24"/>
        </w:rPr>
        <w:t>e v ekonomike</w:t>
      </w:r>
      <w:r w:rsidRPr="00BF784A">
        <w:rPr>
          <w:sz w:val="24"/>
          <w:szCs w:val="24"/>
        </w:rPr>
        <w:t>, dostáva príležitosť na diskusiu</w:t>
      </w:r>
    </w:p>
    <w:p w14:paraId="4FD513FC" w14:textId="3AC23481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k podnikavosti</w:t>
      </w:r>
    </w:p>
    <w:p w14:paraId="3C6C8CEE" w14:textId="1C751ABA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žiakov, aby rozvíjali svoj osobný aj odborný rast</w:t>
      </w:r>
    </w:p>
    <w:p w14:paraId="2B674CE5" w14:textId="32BB5845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posudzuje a hodnotí riziká súvisiace s rozhodovaním v reálnych životných situáciách</w:t>
      </w:r>
    </w:p>
    <w:p w14:paraId="054DE0A7" w14:textId="542C5A7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získava a vyhodnocuje informácie o vzdelávaní a pracovných príležitostiach, využíva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dostupné zdroje</w:t>
      </w:r>
    </w:p>
    <w:p w14:paraId="17B02097" w14:textId="64012DD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rozvíja svoj osobný i odborný potenciál, rozpoznáva a využíva príležitosti pre svoj</w:t>
      </w:r>
    </w:p>
    <w:p w14:paraId="5ADF03FD" w14:textId="59F85F62" w:rsidR="00BF784A" w:rsidRPr="00BF784A" w:rsidRDefault="00BF784A" w:rsidP="00021E79">
      <w:pPr>
        <w:pStyle w:val="Odsekzoznamu"/>
        <w:spacing w:after="240" w:line="276" w:lineRule="auto"/>
        <w:ind w:left="720" w:firstLine="0"/>
        <w:jc w:val="both"/>
        <w:rPr>
          <w:sz w:val="24"/>
          <w:szCs w:val="24"/>
        </w:rPr>
      </w:pPr>
      <w:r w:rsidRPr="00BF784A">
        <w:rPr>
          <w:sz w:val="24"/>
          <w:szCs w:val="24"/>
        </w:rPr>
        <w:t xml:space="preserve">rozvoj v osobnom a </w:t>
      </w:r>
      <w:proofErr w:type="spellStart"/>
      <w:r w:rsidRPr="00BF784A">
        <w:rPr>
          <w:sz w:val="24"/>
          <w:szCs w:val="24"/>
        </w:rPr>
        <w:t>profesnom</w:t>
      </w:r>
      <w:proofErr w:type="spellEnd"/>
      <w:r w:rsidRPr="00BF784A">
        <w:rPr>
          <w:sz w:val="24"/>
          <w:szCs w:val="24"/>
        </w:rPr>
        <w:t xml:space="preserve"> živote</w:t>
      </w:r>
    </w:p>
    <w:p w14:paraId="6A0CDC10" w14:textId="77BF731B" w:rsidR="00021E79" w:rsidRDefault="00021E79" w:rsidP="00021E79">
      <w:pPr>
        <w:pStyle w:val="Nadpis2"/>
        <w:spacing w:before="122"/>
      </w:pPr>
      <w:r>
        <w:rPr>
          <w:i/>
        </w:rPr>
        <w:t>kompetencie v oblasti informačných a komunikačných technológií</w:t>
      </w:r>
    </w:p>
    <w:p w14:paraId="0A633AC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má osvojené základné zručnosti v oblasti IKT ako predpoklad ďalšieho rozvoja,</w:t>
      </w:r>
    </w:p>
    <w:p w14:paraId="1BD31D38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používa základné postupy pri práci s textom a jednoduchou prezentáciou,</w:t>
      </w:r>
    </w:p>
    <w:p w14:paraId="0D14ABE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dokáže vytvoriť jednoduché tabuľky a grafy a pracovať v jednoduchom grafickom prostredí</w:t>
      </w:r>
    </w:p>
    <w:p w14:paraId="6D13D6D1" w14:textId="77777777" w:rsidR="00021E79" w:rsidRDefault="00021E79" w:rsidP="00AD3B6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</w:rPr>
      </w:pPr>
      <w:r w:rsidRPr="00021E79">
        <w:rPr>
          <w:sz w:val="24"/>
          <w:szCs w:val="24"/>
        </w:rPr>
        <w:t>dokáže využívať IKT</w:t>
      </w:r>
      <w:r>
        <w:rPr>
          <w:sz w:val="24"/>
        </w:rPr>
        <w:t xml:space="preserve">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628EDD9" w14:textId="77777777" w:rsidR="00021E79" w:rsidRDefault="00021E79" w:rsidP="00021E79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B395C8B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uvedomuje si potrebu svojho autonómneho učenia sa ako prostriedku sebarealizácie a osobného rozvoja,</w:t>
      </w:r>
    </w:p>
    <w:p w14:paraId="12A041FA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reflektovať proces vlastného učenia sa a myslenia pri získavaní a spracovávaní nových poznatkov a informácií a uplatňuje rôzne stratégie učenia sa,</w:t>
      </w:r>
    </w:p>
    <w:p w14:paraId="290FC281" w14:textId="6E1FD689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lastRenderedPageBreak/>
        <w:t>dokáže kriticky zhodnotiť informácie a ich zdroj, tvorivo ich spracovať a využívať,</w:t>
      </w:r>
    </w:p>
    <w:p w14:paraId="7EBDAB23" w14:textId="281BD023" w:rsidR="00AE6D81" w:rsidRPr="00E77E0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</w:rPr>
      </w:pPr>
      <w:r w:rsidRPr="00021E79">
        <w:rPr>
          <w:sz w:val="24"/>
          <w:szCs w:val="24"/>
        </w:rPr>
        <w:t>kriticky hodnotí svoj pokrok, prijíma spätnú väzbu a uvedomuje si svoje ďalšie rozvojové</w:t>
      </w:r>
      <w:r>
        <w:rPr>
          <w:sz w:val="24"/>
        </w:rPr>
        <w:t xml:space="preserve"> možnosti</w:t>
      </w:r>
      <w:r w:rsidR="00AD3B69">
        <w:rPr>
          <w:sz w:val="24"/>
        </w:rPr>
        <w:t>.</w:t>
      </w:r>
    </w:p>
    <w:p w14:paraId="4F51F409" w14:textId="77777777" w:rsidR="00AE6D81" w:rsidRP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proofErr w:type="spellStart"/>
            <w:r w:rsidRPr="00094CE4">
              <w:rPr>
                <w:b/>
                <w:bCs/>
              </w:rPr>
              <w:t>Informačno</w:t>
            </w:r>
            <w:proofErr w:type="spellEnd"/>
            <w:r w:rsidRPr="00094CE4">
              <w:rPr>
                <w:b/>
                <w:bCs/>
              </w:rPr>
              <w:t xml:space="preserve"> – receptívna</w:t>
            </w:r>
            <w:r w:rsidRPr="00AE6D81">
              <w:t xml:space="preserve"> – výklad </w:t>
            </w:r>
          </w:p>
          <w:p w14:paraId="3EC2D831" w14:textId="77777777" w:rsidR="00AE6D81" w:rsidRPr="00AE6D81" w:rsidRDefault="00AE6D81" w:rsidP="00FB553D">
            <w:r w:rsidRPr="00094CE4">
              <w:rPr>
                <w:b/>
                <w:bCs/>
              </w:rPr>
              <w:t>Problémová</w:t>
            </w:r>
            <w:r w:rsidRPr="00AE6D81">
              <w:t xml:space="preserve">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094CE4">
              <w:rPr>
                <w:b/>
                <w:bCs/>
              </w:rPr>
              <w:t xml:space="preserve">Heuristická </w:t>
            </w:r>
            <w:r w:rsidRPr="00AE6D81">
              <w:t>– metóda heuristického rozhovoru, hry ako metódy</w:t>
            </w:r>
          </w:p>
          <w:p w14:paraId="730192A5" w14:textId="11A2C02C" w:rsidR="00AE6D81" w:rsidRPr="00094CE4" w:rsidRDefault="00094CE4" w:rsidP="00FB553D">
            <w:pPr>
              <w:rPr>
                <w:b/>
                <w:bCs/>
              </w:rPr>
            </w:pPr>
            <w:r w:rsidRPr="00094CE4">
              <w:rPr>
                <w:b/>
                <w:bCs/>
              </w:rPr>
              <w:t>T</w:t>
            </w:r>
            <w:r w:rsidR="00AE6D81" w:rsidRPr="00094CE4">
              <w:rPr>
                <w:b/>
                <w:bCs/>
              </w:rPr>
              <w:t>vorb</w:t>
            </w:r>
            <w:r w:rsidRPr="00094CE4">
              <w:rPr>
                <w:b/>
                <w:bCs/>
              </w:rPr>
              <w:t>a</w:t>
            </w:r>
            <w:r w:rsidR="00AE6D81" w:rsidRPr="00094CE4">
              <w:rPr>
                <w:b/>
                <w:bCs/>
              </w:rPr>
              <w:t xml:space="preserve"> diferencovaných úloh</w:t>
            </w:r>
          </w:p>
          <w:p w14:paraId="4DF47DF9" w14:textId="77777777" w:rsidR="00696964" w:rsidRDefault="00696964" w:rsidP="00FB553D">
            <w:r w:rsidRPr="00094CE4">
              <w:rPr>
                <w:b/>
                <w:bCs/>
              </w:rPr>
              <w:t>Inscenačná</w:t>
            </w:r>
            <w:r>
              <w:t xml:space="preserve"> - </w:t>
            </w:r>
            <w:r w:rsidRPr="00696964">
              <w:t>založená na tom, že žiaci prevezmú určené role</w:t>
            </w:r>
            <w:r>
              <w:t>,</w:t>
            </w:r>
            <w:r w:rsidRPr="00696964">
              <w:t xml:space="preserve"> a potom zohrajú situácie, do ktorých sa postavy (charakterizované týmito rolami) dostávajú.</w:t>
            </w:r>
          </w:p>
          <w:p w14:paraId="371B426F" w14:textId="1D37941D" w:rsidR="00655361" w:rsidRPr="00AE6D81" w:rsidRDefault="00094CE4" w:rsidP="00655361">
            <w:r w:rsidRPr="00094CE4">
              <w:rPr>
                <w:b/>
                <w:bCs/>
              </w:rPr>
              <w:t>Brainstorming</w:t>
            </w:r>
            <w:r>
              <w:t xml:space="preserve"> - </w:t>
            </w:r>
            <w:r w:rsidRPr="00094CE4">
              <w:t>založen</w:t>
            </w:r>
            <w:r>
              <w:t>á</w:t>
            </w:r>
            <w:r w:rsidRPr="00094CE4">
              <w:t xml:space="preserve"> na skupinovom riešení, ktorá má uľahčiť generovanie kreatívnej stratégie.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33151811" w:rsidR="00AE6D81" w:rsidRPr="00AE6D81" w:rsidRDefault="00AE6D81" w:rsidP="00FB553D">
            <w:r w:rsidRPr="00AE6D81">
              <w:t>Práca s </w:t>
            </w:r>
            <w:r w:rsidR="00094CE4">
              <w:t>internetom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Učebné zdroje</w:t>
      </w:r>
    </w:p>
    <w:p w14:paraId="0B859B8B" w14:textId="77777777" w:rsidR="00094CE4" w:rsidRDefault="00094CE4" w:rsidP="00094CE4">
      <w:pPr>
        <w:rPr>
          <w:rFonts w:eastAsiaTheme="majorEastAsia" w:cstheme="majorBidi"/>
          <w:b/>
          <w:color w:val="2F5496" w:themeColor="accent1" w:themeShade="BF"/>
          <w:sz w:val="32"/>
          <w:szCs w:val="32"/>
        </w:rPr>
      </w:pPr>
    </w:p>
    <w:p w14:paraId="3CAEF667" w14:textId="01DC9155" w:rsidR="00094CE4" w:rsidRDefault="00094CE4" w:rsidP="00094CE4">
      <w:r>
        <w:t xml:space="preserve">Národný štandard finančnej gramotnosti – verzia 1.2, </w:t>
      </w:r>
      <w:proofErr w:type="spellStart"/>
      <w:r w:rsidR="00A579C0">
        <w:t>MŠVVaM</w:t>
      </w:r>
      <w:proofErr w:type="spellEnd"/>
      <w:r w:rsidR="00A579C0">
        <w:t>, Bratislava, 2017</w:t>
      </w:r>
    </w:p>
    <w:p w14:paraId="44E81E51" w14:textId="4E7F3351" w:rsidR="00094CE4" w:rsidRDefault="00000000" w:rsidP="00094CE4">
      <w:hyperlink r:id="rId7" w:history="1">
        <w:r w:rsidR="00094CE4" w:rsidRPr="00094CE4">
          <w:rPr>
            <w:rStyle w:val="Hypertextovprepojenie"/>
          </w:rPr>
          <w:t>https://www.minedu.sk/17597-sk/narodny-standard-financnej-gramotnosti/</w:t>
        </w:r>
      </w:hyperlink>
    </w:p>
    <w:p w14:paraId="5F37A309" w14:textId="28ABB771" w:rsidR="00094CE4" w:rsidRDefault="00094CE4" w:rsidP="00A579C0">
      <w:pPr>
        <w:spacing w:before="240"/>
      </w:pPr>
      <w:r>
        <w:t>Odborné texty k jednotlivým témam Národného štandardu finančnej gramotnosti verzia 1.2, ŠPÚ, Bratislava 2018</w:t>
      </w:r>
    </w:p>
    <w:p w14:paraId="7F97B168" w14:textId="5361A3AE" w:rsidR="00094CE4" w:rsidRDefault="00000000" w:rsidP="00094CE4">
      <w:pPr>
        <w:rPr>
          <w:rStyle w:val="Hypertextovprepojenie"/>
        </w:rPr>
      </w:pPr>
      <w:hyperlink r:id="rId8" w:history="1">
        <w:r w:rsidR="00094CE4" w:rsidRPr="00094CE4">
          <w:rPr>
            <w:rStyle w:val="Hypertextovprepojenie"/>
          </w:rPr>
          <w:t>https://www.statpedu.sk/files/sk/metodicky-portal/metodicke-podnety/fg_odborne_texty_1_2.pdf</w:t>
        </w:r>
      </w:hyperlink>
    </w:p>
    <w:p w14:paraId="4B5AA5D1" w14:textId="66E93243" w:rsidR="00A579C0" w:rsidRPr="00A579C0" w:rsidRDefault="00A579C0" w:rsidP="00A579C0">
      <w:pPr>
        <w:spacing w:before="240"/>
        <w:rPr>
          <w:rStyle w:val="Hypertextovprepojenie"/>
          <w:color w:val="auto"/>
          <w:u w:val="none"/>
        </w:rPr>
      </w:pPr>
      <w:r w:rsidRPr="00A579C0">
        <w:rPr>
          <w:rStyle w:val="Hypertextovprepojenie"/>
          <w:color w:val="auto"/>
          <w:u w:val="none"/>
        </w:rPr>
        <w:t>Finančná gramotnosť 2</w:t>
      </w:r>
      <w:r>
        <w:rPr>
          <w:rStyle w:val="Hypertextovprepojenie"/>
          <w:color w:val="auto"/>
          <w:u w:val="none"/>
        </w:rPr>
        <w:t>, NIVAM, Bratislava, 2023</w:t>
      </w:r>
    </w:p>
    <w:p w14:paraId="3794B3E5" w14:textId="3C6D42C8" w:rsidR="00A579C0" w:rsidRDefault="00000000" w:rsidP="00A579C0">
      <w:pPr>
        <w:rPr>
          <w:rStyle w:val="Hypertextovprepojenie"/>
        </w:rPr>
      </w:pPr>
      <w:hyperlink r:id="rId9" w:history="1">
        <w:r w:rsidR="00A579C0" w:rsidRPr="00A579C0">
          <w:rPr>
            <w:rStyle w:val="Hypertextovprepojenie"/>
          </w:rPr>
          <w:t>https://nivam.sk/wp-content/uploads/2023/01/Metodicka-prirucka-pre-implementaciu-financnej-gramotnosti-do-vzdelavania-na-2.-stupni-zakladnych-skol.pdf</w:t>
        </w:r>
      </w:hyperlink>
    </w:p>
    <w:p w14:paraId="21D945F1" w14:textId="5712F2C2" w:rsidR="00A579C0" w:rsidRDefault="00A579C0" w:rsidP="00A579C0">
      <w:pPr>
        <w:spacing w:before="240"/>
      </w:pPr>
      <w:r w:rsidRPr="00A579C0">
        <w:rPr>
          <w:rStyle w:val="Hypertextovprepojenie"/>
          <w:color w:val="auto"/>
          <w:u w:val="none"/>
        </w:rPr>
        <w:t>Metodika pre zapracovanie a aplikáciu tém finančnej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gramotnosti do školských vzdelávacích programov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základných škôl a stredných škôl</w:t>
      </w:r>
      <w:r>
        <w:rPr>
          <w:rStyle w:val="Hypertextovprepojenie"/>
          <w:color w:val="auto"/>
          <w:u w:val="none"/>
        </w:rPr>
        <w:t xml:space="preserve">, </w:t>
      </w:r>
      <w:proofErr w:type="spellStart"/>
      <w:r>
        <w:t>MŠVVaM</w:t>
      </w:r>
      <w:proofErr w:type="spellEnd"/>
      <w:r>
        <w:t>, Bratislava, 2018</w:t>
      </w:r>
    </w:p>
    <w:p w14:paraId="15DA3285" w14:textId="1ED0E5F7" w:rsidR="00A579C0" w:rsidRDefault="00000000" w:rsidP="00A579C0">
      <w:pPr>
        <w:rPr>
          <w:rStyle w:val="Hypertextovprepojenie"/>
        </w:rPr>
      </w:pPr>
      <w:hyperlink r:id="rId10" w:history="1">
        <w:r w:rsidR="00A579C0" w:rsidRPr="00A579C0">
          <w:rPr>
            <w:rStyle w:val="Hypertextovprepojenie"/>
          </w:rPr>
          <w:t>https://www.statpedu.sk/files/sk/metodicky-portal/metodicke-podnety/fg_metodika_01092018.pdf</w:t>
        </w:r>
      </w:hyperlink>
    </w:p>
    <w:p w14:paraId="172CE6A6" w14:textId="10487AE3" w:rsidR="00A579C0" w:rsidRDefault="00943B03" w:rsidP="00A579C0">
      <w:pPr>
        <w:rPr>
          <w:rStyle w:val="Hypertextovprepojenie"/>
        </w:rPr>
      </w:pPr>
      <w:r>
        <w:t>Korupcia. Námety na vyučovanie pre základné a stredné školy, ŠPÚ, 2016</w:t>
      </w:r>
    </w:p>
    <w:p w14:paraId="7E8C3D7F" w14:textId="236CDB67" w:rsidR="00A579C0" w:rsidRPr="00A579C0" w:rsidRDefault="00000000" w:rsidP="00A579C0">
      <w:hyperlink r:id="rId11" w:history="1">
        <w:r w:rsidR="00A579C0" w:rsidRPr="00A579C0">
          <w:rPr>
            <w:rStyle w:val="Hypertextovprepojenie"/>
          </w:rPr>
          <w:t>https://www.statpedu.sk/files/articles/nove_dokumenty/aktuality/korupcia_namety-vyucovanie_dolozka.pdf</w:t>
        </w:r>
      </w:hyperlink>
    </w:p>
    <w:sectPr w:rsidR="00A579C0" w:rsidRPr="00A579C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7953B" w14:textId="77777777" w:rsidR="007D6BF8" w:rsidRDefault="007D6BF8" w:rsidP="00486557">
      <w:r>
        <w:separator/>
      </w:r>
    </w:p>
  </w:endnote>
  <w:endnote w:type="continuationSeparator" w:id="0">
    <w:p w14:paraId="787FCF33" w14:textId="77777777" w:rsidR="007D6BF8" w:rsidRDefault="007D6BF8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EF92" w14:textId="77777777" w:rsidR="007D6BF8" w:rsidRDefault="007D6BF8" w:rsidP="00486557">
      <w:r>
        <w:separator/>
      </w:r>
    </w:p>
  </w:footnote>
  <w:footnote w:type="continuationSeparator" w:id="0">
    <w:p w14:paraId="4EA791C8" w14:textId="77777777" w:rsidR="007D6BF8" w:rsidRDefault="007D6BF8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C4B"/>
    <w:multiLevelType w:val="hybridMultilevel"/>
    <w:tmpl w:val="4144413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23728"/>
    <w:multiLevelType w:val="hybridMultilevel"/>
    <w:tmpl w:val="5A82B95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1ED4"/>
    <w:multiLevelType w:val="hybridMultilevel"/>
    <w:tmpl w:val="E780B6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B2C"/>
    <w:multiLevelType w:val="hybridMultilevel"/>
    <w:tmpl w:val="9B024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B396F"/>
    <w:multiLevelType w:val="hybridMultilevel"/>
    <w:tmpl w:val="27FEA1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949AA"/>
    <w:multiLevelType w:val="hybridMultilevel"/>
    <w:tmpl w:val="65804B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2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F23AB"/>
    <w:multiLevelType w:val="hybridMultilevel"/>
    <w:tmpl w:val="41085CC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5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8518F"/>
    <w:multiLevelType w:val="hybridMultilevel"/>
    <w:tmpl w:val="693C9EF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6117"/>
    <w:multiLevelType w:val="hybridMultilevel"/>
    <w:tmpl w:val="9E8A90D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286674">
    <w:abstractNumId w:val="6"/>
  </w:num>
  <w:num w:numId="2" w16cid:durableId="769812757">
    <w:abstractNumId w:val="11"/>
  </w:num>
  <w:num w:numId="3" w16cid:durableId="1381514926">
    <w:abstractNumId w:val="14"/>
  </w:num>
  <w:num w:numId="4" w16cid:durableId="1552499861">
    <w:abstractNumId w:val="7"/>
  </w:num>
  <w:num w:numId="5" w16cid:durableId="2035886140">
    <w:abstractNumId w:val="17"/>
  </w:num>
  <w:num w:numId="6" w16cid:durableId="1348021679">
    <w:abstractNumId w:val="8"/>
  </w:num>
  <w:num w:numId="7" w16cid:durableId="1213729967">
    <w:abstractNumId w:val="4"/>
  </w:num>
  <w:num w:numId="8" w16cid:durableId="1229413004">
    <w:abstractNumId w:val="15"/>
  </w:num>
  <w:num w:numId="9" w16cid:durableId="1367877075">
    <w:abstractNumId w:val="18"/>
  </w:num>
  <w:num w:numId="10" w16cid:durableId="853305367">
    <w:abstractNumId w:val="20"/>
  </w:num>
  <w:num w:numId="11" w16cid:durableId="1452243554">
    <w:abstractNumId w:val="12"/>
  </w:num>
  <w:num w:numId="12" w16cid:durableId="2073235440">
    <w:abstractNumId w:val="2"/>
  </w:num>
  <w:num w:numId="13" w16cid:durableId="2075623342">
    <w:abstractNumId w:val="1"/>
  </w:num>
  <w:num w:numId="14" w16cid:durableId="1512451407">
    <w:abstractNumId w:val="16"/>
  </w:num>
  <w:num w:numId="15" w16cid:durableId="1539128922">
    <w:abstractNumId w:val="10"/>
  </w:num>
  <w:num w:numId="16" w16cid:durableId="685790264">
    <w:abstractNumId w:val="9"/>
  </w:num>
  <w:num w:numId="17" w16cid:durableId="628902715">
    <w:abstractNumId w:val="13"/>
  </w:num>
  <w:num w:numId="18" w16cid:durableId="1759445795">
    <w:abstractNumId w:val="3"/>
  </w:num>
  <w:num w:numId="19" w16cid:durableId="1447240105">
    <w:abstractNumId w:val="5"/>
  </w:num>
  <w:num w:numId="20" w16cid:durableId="103809058">
    <w:abstractNumId w:val="19"/>
  </w:num>
  <w:num w:numId="21" w16cid:durableId="132350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21E79"/>
    <w:rsid w:val="0004730C"/>
    <w:rsid w:val="00047A1A"/>
    <w:rsid w:val="00063BE2"/>
    <w:rsid w:val="00090285"/>
    <w:rsid w:val="00094CE4"/>
    <w:rsid w:val="000E4729"/>
    <w:rsid w:val="00131B24"/>
    <w:rsid w:val="001A343C"/>
    <w:rsid w:val="001B57B6"/>
    <w:rsid w:val="00267FCB"/>
    <w:rsid w:val="002945BB"/>
    <w:rsid w:val="003C6919"/>
    <w:rsid w:val="003D2D05"/>
    <w:rsid w:val="003E2860"/>
    <w:rsid w:val="00411A0E"/>
    <w:rsid w:val="00445BD3"/>
    <w:rsid w:val="004840E8"/>
    <w:rsid w:val="00486557"/>
    <w:rsid w:val="005777B7"/>
    <w:rsid w:val="00596C03"/>
    <w:rsid w:val="00655361"/>
    <w:rsid w:val="00696964"/>
    <w:rsid w:val="00745E38"/>
    <w:rsid w:val="007A54FE"/>
    <w:rsid w:val="007B7AF5"/>
    <w:rsid w:val="007C34B1"/>
    <w:rsid w:val="007D6BF8"/>
    <w:rsid w:val="008F5FF9"/>
    <w:rsid w:val="008F7E41"/>
    <w:rsid w:val="00943B03"/>
    <w:rsid w:val="00991318"/>
    <w:rsid w:val="009E1A0E"/>
    <w:rsid w:val="00A359A7"/>
    <w:rsid w:val="00A579C0"/>
    <w:rsid w:val="00A839CD"/>
    <w:rsid w:val="00A9676C"/>
    <w:rsid w:val="00AD3B69"/>
    <w:rsid w:val="00AE6D81"/>
    <w:rsid w:val="00B93249"/>
    <w:rsid w:val="00BD52BD"/>
    <w:rsid w:val="00BF254F"/>
    <w:rsid w:val="00BF784A"/>
    <w:rsid w:val="00C304B8"/>
    <w:rsid w:val="00D807D1"/>
    <w:rsid w:val="00DA5EF8"/>
    <w:rsid w:val="00DB1B85"/>
    <w:rsid w:val="00DD57CA"/>
    <w:rsid w:val="00E031EF"/>
    <w:rsid w:val="00E7508E"/>
    <w:rsid w:val="00E77E09"/>
    <w:rsid w:val="00ED5BFC"/>
    <w:rsid w:val="00FC0388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9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metodicky-portal/metodicke-podnety/fg_odborne_texty_1_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17597-sk/narodny-standard-financnej-gramotnos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pedu.sk/files/articles/nove_dokumenty/aktuality/korupcia_namety-vyucovanie_dolozk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atpedu.sk/files/sk/metodicky-portal/metodicke-podnety/fg_metodika_01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ivam.sk/wp-content/uploads/2023/01/Metodicka-prirucka-pre-implementaciu-financnej-gramotnosti-do-vzdelavania-na-2.-stupni-zakladnych-sk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1787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2024-04-06T13:30:00Z</dcterms:created>
  <dcterms:modified xsi:type="dcterms:W3CDTF">2024-04-06T13:30:00Z</dcterms:modified>
</cp:coreProperties>
</file>